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eastAsia="方正小标宋简体" w:cs="Times New Roman" w:hAnsiTheme="majorHAnsi"/>
          <w:b w:val="0"/>
          <w:bCs/>
          <w:sz w:val="44"/>
          <w:szCs w:val="32"/>
        </w:rPr>
      </w:pPr>
    </w:p>
    <w:p>
      <w:pPr>
        <w:ind w:firstLine="0" w:firstLineChars="0"/>
        <w:jc w:val="center"/>
        <w:rPr>
          <w:rFonts w:eastAsia="方正小标宋简体" w:cs="Times New Roman" w:hAnsiTheme="majorHAnsi"/>
          <w:b w:val="0"/>
          <w:bCs/>
          <w:sz w:val="44"/>
          <w:szCs w:val="32"/>
        </w:rPr>
      </w:pPr>
      <w:r>
        <w:rPr>
          <w:rFonts w:hint="eastAsia" w:eastAsia="方正小标宋简体" w:cs="Times New Roman" w:hAnsiTheme="majorHAnsi"/>
          <w:b w:val="0"/>
          <w:bCs/>
          <w:sz w:val="44"/>
          <w:szCs w:val="32"/>
        </w:rPr>
        <w:t>宁波市地方金融监督管理局</w:t>
      </w:r>
    </w:p>
    <w:p>
      <w:pPr>
        <w:ind w:firstLine="0" w:firstLineChars="0"/>
        <w:jc w:val="center"/>
        <w:rPr>
          <w:rFonts w:eastAsia="方正小标宋简体" w:cs="Times New Roman"/>
          <w:b w:val="0"/>
          <w:bCs/>
          <w:sz w:val="44"/>
          <w:szCs w:val="32"/>
        </w:rPr>
      </w:pPr>
      <w:bookmarkStart w:id="0" w:name="_GoBack"/>
      <w:r>
        <w:rPr>
          <w:rFonts w:eastAsia="方正小标宋简体" w:cs="Times New Roman" w:hAnsiTheme="majorHAnsi"/>
          <w:b w:val="0"/>
          <w:bCs/>
          <w:sz w:val="44"/>
          <w:szCs w:val="32"/>
        </w:rPr>
        <w:t>地方金融组织非现场监管暂行办法</w:t>
      </w:r>
    </w:p>
    <w:p>
      <w:pPr>
        <w:ind w:firstLine="0" w:firstLineChars="0"/>
        <w:jc w:val="center"/>
        <w:rPr>
          <w:rFonts w:eastAsia="楷体_GB2312" w:cs="Times New Roman"/>
          <w:b w:val="0"/>
          <w:bCs/>
        </w:rPr>
      </w:pPr>
      <w:r>
        <w:rPr>
          <w:rFonts w:eastAsia="楷体_GB2312" w:cs="Times New Roman"/>
          <w:b w:val="0"/>
          <w:bCs/>
        </w:rPr>
        <w:t>（</w:t>
      </w:r>
      <w:r>
        <w:rPr>
          <w:rFonts w:hint="eastAsia" w:eastAsia="楷体_GB2312" w:cs="Times New Roman"/>
          <w:b w:val="0"/>
          <w:bCs/>
        </w:rPr>
        <w:t>征求意见稿</w:t>
      </w:r>
      <w:r>
        <w:rPr>
          <w:rFonts w:eastAsia="楷体_GB2312" w:cs="Times New Roman"/>
          <w:b w:val="0"/>
          <w:bCs/>
        </w:rPr>
        <w:t>）</w:t>
      </w:r>
    </w:p>
    <w:bookmarkEnd w:id="0"/>
    <w:p>
      <w:pPr>
        <w:ind w:firstLine="0" w:firstLineChars="0"/>
        <w:jc w:val="center"/>
        <w:rPr>
          <w:rFonts w:eastAsia="黑体" w:cs="Times New Roman"/>
          <w:b w:val="0"/>
          <w:bCs/>
          <w:kern w:val="28"/>
          <w:szCs w:val="32"/>
        </w:rPr>
      </w:pPr>
      <w:r>
        <w:rPr>
          <w:rFonts w:eastAsia="黑体" w:cs="Times New Roman" w:hAnsiTheme="majorHAnsi"/>
          <w:b w:val="0"/>
          <w:bCs/>
          <w:kern w:val="28"/>
          <w:szCs w:val="32"/>
        </w:rPr>
        <w:t>第一章</w:t>
      </w:r>
      <w:r>
        <w:rPr>
          <w:rFonts w:eastAsia="黑体" w:cs="Times New Roman"/>
          <w:b w:val="0"/>
          <w:bCs/>
          <w:kern w:val="28"/>
          <w:szCs w:val="32"/>
        </w:rPr>
        <w:t xml:space="preserve">  </w:t>
      </w:r>
      <w:r>
        <w:rPr>
          <w:rFonts w:eastAsia="黑体" w:cs="Times New Roman" w:hAnsiTheme="majorHAnsi"/>
          <w:b w:val="0"/>
          <w:bCs/>
          <w:kern w:val="28"/>
          <w:szCs w:val="32"/>
        </w:rPr>
        <w:t>总</w:t>
      </w:r>
      <w:r>
        <w:rPr>
          <w:rFonts w:eastAsia="黑体" w:cs="Times New Roman"/>
          <w:b w:val="0"/>
          <w:bCs/>
          <w:kern w:val="28"/>
          <w:szCs w:val="32"/>
        </w:rPr>
        <w:t xml:space="preserve"> </w:t>
      </w:r>
      <w:r>
        <w:rPr>
          <w:rFonts w:eastAsia="黑体" w:cs="Times New Roman" w:hAnsiTheme="majorHAnsi"/>
          <w:b w:val="0"/>
          <w:bCs/>
          <w:kern w:val="28"/>
          <w:szCs w:val="32"/>
        </w:rPr>
        <w:t>则</w:t>
      </w:r>
    </w:p>
    <w:p>
      <w:pPr>
        <w:ind w:firstLine="640"/>
        <w:rPr>
          <w:rFonts w:cs="Times New Roman"/>
          <w:b w:val="0"/>
          <w:bCs/>
        </w:rPr>
      </w:pPr>
    </w:p>
    <w:p>
      <w:pPr>
        <w:ind w:firstLine="640"/>
        <w:rPr>
          <w:rFonts w:cs="Times New Roman"/>
          <w:b w:val="0"/>
          <w:bCs/>
        </w:rPr>
      </w:pPr>
      <w:r>
        <w:rPr>
          <w:rFonts w:cs="Times New Roman"/>
          <w:b w:val="0"/>
          <w:bCs/>
        </w:rPr>
        <w:t>第一条</w:t>
      </w:r>
      <w:r>
        <w:rPr>
          <w:rFonts w:hint="eastAsia" w:cs="Times New Roman"/>
          <w:b w:val="0"/>
          <w:bCs/>
        </w:rPr>
        <w:t xml:space="preserve">  </w:t>
      </w:r>
      <w:r>
        <w:rPr>
          <w:rFonts w:cs="Times New Roman"/>
          <w:b w:val="0"/>
          <w:bCs/>
        </w:rPr>
        <w:t>为加强对地方金融组织的监督管理，规范非现场监管行为，提高非现场监管的工作质量和效率，促进行业健康发展，根据</w:t>
      </w:r>
      <w:r>
        <w:rPr>
          <w:rFonts w:hint="eastAsia" w:cs="Times New Roman"/>
          <w:b w:val="0"/>
          <w:bCs/>
        </w:rPr>
        <w:t>国家有关法律法规、</w:t>
      </w:r>
      <w:r>
        <w:rPr>
          <w:rFonts w:cs="Times New Roman"/>
          <w:b w:val="0"/>
          <w:bCs/>
        </w:rPr>
        <w:t>《浙江省地方金融条例》</w:t>
      </w:r>
      <w:r>
        <w:rPr>
          <w:rFonts w:hint="eastAsia" w:cs="Times New Roman"/>
          <w:b w:val="0"/>
          <w:bCs/>
        </w:rPr>
        <w:t>及《浙江省地方金融监督管理局地方金融组织非现场监管暂行办法》</w:t>
      </w:r>
      <w:r>
        <w:rPr>
          <w:rFonts w:cs="Times New Roman"/>
          <w:b w:val="0"/>
          <w:bCs/>
        </w:rPr>
        <w:t>等规定，结合我</w:t>
      </w:r>
      <w:r>
        <w:rPr>
          <w:rFonts w:hint="eastAsia" w:cs="Times New Roman"/>
          <w:b w:val="0"/>
          <w:bCs/>
        </w:rPr>
        <w:t>市</w:t>
      </w:r>
      <w:r>
        <w:rPr>
          <w:rFonts w:cs="Times New Roman"/>
          <w:b w:val="0"/>
          <w:bCs/>
        </w:rPr>
        <w:t>实际，制定本办法。</w:t>
      </w:r>
    </w:p>
    <w:p>
      <w:pPr>
        <w:ind w:firstLine="640"/>
        <w:rPr>
          <w:rFonts w:cs="Times New Roman"/>
          <w:b w:val="0"/>
          <w:bCs/>
        </w:rPr>
      </w:pPr>
      <w:r>
        <w:rPr>
          <w:rFonts w:cs="Times New Roman"/>
          <w:b w:val="0"/>
          <w:bCs/>
        </w:rPr>
        <w:t>第二条</w:t>
      </w:r>
      <w:r>
        <w:rPr>
          <w:rFonts w:hint="eastAsia" w:cs="Times New Roman"/>
          <w:b w:val="0"/>
          <w:bCs/>
        </w:rPr>
        <w:t xml:space="preserve">  </w:t>
      </w:r>
      <w:r>
        <w:rPr>
          <w:rFonts w:cs="Times New Roman"/>
          <w:b w:val="0"/>
          <w:bCs/>
        </w:rPr>
        <w:t>本办法适用于</w:t>
      </w:r>
      <w:r>
        <w:rPr>
          <w:rFonts w:hint="eastAsia" w:cs="Times New Roman"/>
          <w:b w:val="0"/>
          <w:bCs/>
        </w:rPr>
        <w:t>宁波市</w:t>
      </w:r>
      <w:r>
        <w:rPr>
          <w:rFonts w:cs="Times New Roman"/>
          <w:b w:val="0"/>
          <w:bCs/>
        </w:rPr>
        <w:t>各级地方金融监督管理</w:t>
      </w:r>
      <w:r>
        <w:rPr>
          <w:rFonts w:hint="eastAsia" w:cs="Times New Roman"/>
          <w:b w:val="0"/>
          <w:bCs/>
        </w:rPr>
        <w:t>（</w:t>
      </w:r>
      <w:r>
        <w:rPr>
          <w:rFonts w:cs="Times New Roman"/>
          <w:b w:val="0"/>
          <w:bCs/>
        </w:rPr>
        <w:t>工作</w:t>
      </w:r>
      <w:r>
        <w:rPr>
          <w:rFonts w:hint="eastAsia" w:cs="Times New Roman"/>
          <w:b w:val="0"/>
          <w:bCs/>
        </w:rPr>
        <w:t>）</w:t>
      </w:r>
      <w:r>
        <w:rPr>
          <w:rFonts w:cs="Times New Roman"/>
          <w:b w:val="0"/>
          <w:bCs/>
        </w:rPr>
        <w:t>部门对地方金融组织进行的非现场监管工作。</w:t>
      </w:r>
    </w:p>
    <w:p>
      <w:pPr>
        <w:ind w:firstLine="640"/>
        <w:rPr>
          <w:rFonts w:cs="Times New Roman"/>
          <w:b w:val="0"/>
          <w:bCs/>
        </w:rPr>
      </w:pPr>
      <w:r>
        <w:rPr>
          <w:rFonts w:cs="Times New Roman"/>
          <w:b w:val="0"/>
          <w:bCs/>
        </w:rPr>
        <w:t>第三条</w:t>
      </w:r>
      <w:r>
        <w:rPr>
          <w:rFonts w:hint="eastAsia" w:cs="Times New Roman"/>
          <w:b w:val="0"/>
          <w:bCs/>
        </w:rPr>
        <w:t xml:space="preserve">  </w:t>
      </w:r>
      <w:r>
        <w:rPr>
          <w:rFonts w:cs="Times New Roman"/>
          <w:b w:val="0"/>
          <w:bCs/>
        </w:rPr>
        <w:t>本办法所称非现场监管是指通过收集地方金融组织</w:t>
      </w:r>
      <w:r>
        <w:rPr>
          <w:rFonts w:hint="eastAsia" w:cs="Times New Roman"/>
          <w:b w:val="0"/>
          <w:bCs/>
        </w:rPr>
        <w:t>及行业整体的业务活动和风险状况的报表数据、经营管理情况及其他内外部资料等信息，</w:t>
      </w:r>
      <w:r>
        <w:rPr>
          <w:rFonts w:cs="Times New Roman"/>
          <w:b w:val="0"/>
          <w:bCs/>
        </w:rPr>
        <w:t>对地方金融组织及行业整体风险状况</w:t>
      </w:r>
      <w:r>
        <w:rPr>
          <w:rFonts w:hint="eastAsia" w:cs="Times New Roman"/>
          <w:b w:val="0"/>
          <w:bCs/>
        </w:rPr>
        <w:t>和服务实体经济情况</w:t>
      </w:r>
      <w:r>
        <w:rPr>
          <w:rFonts w:cs="Times New Roman"/>
          <w:b w:val="0"/>
          <w:bCs/>
        </w:rPr>
        <w:t>进行分析，并采取相应措施的持续性监管过程。</w:t>
      </w:r>
    </w:p>
    <w:p>
      <w:pPr>
        <w:ind w:firstLine="640"/>
        <w:rPr>
          <w:rFonts w:cs="Times New Roman"/>
          <w:b w:val="0"/>
          <w:bCs/>
        </w:rPr>
      </w:pPr>
      <w:r>
        <w:rPr>
          <w:rFonts w:cs="Times New Roman"/>
          <w:b w:val="0"/>
          <w:bCs/>
        </w:rPr>
        <w:t>第四条</w:t>
      </w:r>
      <w:r>
        <w:rPr>
          <w:rFonts w:hint="eastAsia" w:cs="Times New Roman"/>
          <w:b w:val="0"/>
          <w:bCs/>
        </w:rPr>
        <w:t xml:space="preserve">  </w:t>
      </w:r>
      <w:r>
        <w:rPr>
          <w:rFonts w:cs="Times New Roman"/>
          <w:b w:val="0"/>
          <w:bCs/>
        </w:rPr>
        <w:t>地方金融组织非现场监管</w:t>
      </w:r>
      <w:r>
        <w:rPr>
          <w:rFonts w:hint="eastAsia" w:cs="Times New Roman"/>
          <w:b w:val="0"/>
          <w:bCs/>
        </w:rPr>
        <w:t>是监督管理地方金融组织的重要手段，在监管信息收集、风险识别判断、现场检查计划制定和实施中发挥重要作用。</w:t>
      </w:r>
    </w:p>
    <w:p>
      <w:pPr>
        <w:ind w:firstLine="640"/>
        <w:rPr>
          <w:rFonts w:cs="Times New Roman"/>
          <w:b w:val="0"/>
          <w:bCs/>
        </w:rPr>
      </w:pPr>
      <w:r>
        <w:rPr>
          <w:rFonts w:hint="eastAsia" w:cs="Times New Roman"/>
          <w:b w:val="0"/>
          <w:bCs/>
        </w:rPr>
        <w:t>第五条  建立健全地方金融组织非现场监管信息系统，强化基础信息收集，构建大数据分析模型，提升信息审核和监测水平。</w:t>
      </w:r>
    </w:p>
    <w:p>
      <w:pPr>
        <w:ind w:firstLine="640"/>
        <w:rPr>
          <w:rFonts w:cs="Times New Roman"/>
          <w:b w:val="0"/>
          <w:bCs/>
        </w:rPr>
      </w:pPr>
      <w:r>
        <w:rPr>
          <w:rFonts w:cs="Times New Roman"/>
          <w:b w:val="0"/>
          <w:bCs/>
        </w:rPr>
        <w:t xml:space="preserve"> </w:t>
      </w:r>
    </w:p>
    <w:p>
      <w:pPr>
        <w:numPr>
          <w:ilvl w:val="0"/>
          <w:numId w:val="1"/>
        </w:numPr>
        <w:ind w:firstLine="0" w:firstLineChars="0"/>
        <w:jc w:val="center"/>
        <w:rPr>
          <w:rFonts w:eastAsia="黑体" w:cs="Times New Roman" w:hAnsiTheme="majorHAnsi"/>
          <w:b w:val="0"/>
          <w:bCs/>
          <w:kern w:val="28"/>
          <w:szCs w:val="32"/>
        </w:rPr>
      </w:pPr>
      <w:r>
        <w:rPr>
          <w:rFonts w:eastAsia="黑体" w:cs="Times New Roman"/>
          <w:b w:val="0"/>
          <w:bCs/>
          <w:kern w:val="28"/>
          <w:szCs w:val="32"/>
        </w:rPr>
        <w:t xml:space="preserve"> </w:t>
      </w:r>
      <w:r>
        <w:rPr>
          <w:rFonts w:eastAsia="黑体" w:cs="Times New Roman" w:hAnsiTheme="majorHAnsi"/>
          <w:b w:val="0"/>
          <w:bCs/>
          <w:kern w:val="28"/>
          <w:szCs w:val="32"/>
        </w:rPr>
        <w:t>职责分工</w:t>
      </w:r>
    </w:p>
    <w:p>
      <w:pPr>
        <w:ind w:firstLine="0" w:firstLineChars="0"/>
        <w:rPr>
          <w:rFonts w:eastAsia="黑体" w:cs="Times New Roman" w:hAnsiTheme="majorHAnsi"/>
          <w:b w:val="0"/>
          <w:bCs/>
          <w:kern w:val="28"/>
          <w:szCs w:val="32"/>
        </w:rPr>
      </w:pPr>
    </w:p>
    <w:p>
      <w:pPr>
        <w:ind w:firstLine="640"/>
        <w:rPr>
          <w:rFonts w:cs="Times New Roman"/>
          <w:b w:val="0"/>
          <w:bCs/>
        </w:rPr>
      </w:pPr>
      <w:r>
        <w:rPr>
          <w:rFonts w:cs="Times New Roman"/>
          <w:b w:val="0"/>
          <w:bCs/>
        </w:rPr>
        <w:t xml:space="preserve">第六条 </w:t>
      </w:r>
      <w:r>
        <w:rPr>
          <w:rFonts w:hint="eastAsia" w:cs="Times New Roman" w:asciiTheme="minorHAnsi" w:hAnsiTheme="minorHAnsi"/>
          <w:b w:val="0"/>
          <w:bCs/>
        </w:rPr>
        <w:t xml:space="preserve"> </w:t>
      </w:r>
      <w:r>
        <w:rPr>
          <w:rFonts w:hint="eastAsia" w:cs="Times New Roman"/>
          <w:b w:val="0"/>
          <w:bCs/>
        </w:rPr>
        <w:t>市</w:t>
      </w:r>
      <w:r>
        <w:rPr>
          <w:rFonts w:cs="Times New Roman"/>
          <w:b w:val="0"/>
          <w:bCs/>
        </w:rPr>
        <w:t>地方金融</w:t>
      </w:r>
      <w:r>
        <w:rPr>
          <w:rFonts w:hint="eastAsia" w:cs="Times New Roman"/>
          <w:b w:val="0"/>
          <w:bCs/>
        </w:rPr>
        <w:t>监督管理</w:t>
      </w:r>
      <w:r>
        <w:rPr>
          <w:rFonts w:cs="Times New Roman"/>
          <w:b w:val="0"/>
          <w:bCs/>
        </w:rPr>
        <w:t>局统筹全</w:t>
      </w:r>
      <w:r>
        <w:rPr>
          <w:rFonts w:hint="eastAsia" w:cs="Times New Roman"/>
          <w:b w:val="0"/>
          <w:bCs/>
        </w:rPr>
        <w:t>市</w:t>
      </w:r>
      <w:r>
        <w:rPr>
          <w:rFonts w:cs="Times New Roman"/>
          <w:b w:val="0"/>
          <w:bCs/>
        </w:rPr>
        <w:t>地方金融组织的非现场监管工作，负责</w:t>
      </w:r>
      <w:r>
        <w:rPr>
          <w:rFonts w:hint="eastAsia" w:cs="Times New Roman"/>
          <w:b w:val="0"/>
          <w:bCs/>
        </w:rPr>
        <w:t>市本级直接监管的</w:t>
      </w:r>
      <w:r>
        <w:rPr>
          <w:rFonts w:cs="Times New Roman"/>
          <w:b w:val="0"/>
          <w:bCs/>
        </w:rPr>
        <w:t>地方金融组织非现场监管和行业系统性风险防范</w:t>
      </w:r>
      <w:r>
        <w:rPr>
          <w:rFonts w:hint="eastAsia" w:cs="Times New Roman"/>
          <w:b w:val="0"/>
          <w:bCs/>
        </w:rPr>
        <w:t>防控</w:t>
      </w:r>
      <w:r>
        <w:rPr>
          <w:rFonts w:cs="Times New Roman"/>
          <w:b w:val="0"/>
          <w:bCs/>
        </w:rPr>
        <w:t>，督促指导</w:t>
      </w:r>
      <w:r>
        <w:rPr>
          <w:rFonts w:hint="eastAsia" w:cs="Times New Roman"/>
          <w:b w:val="0"/>
          <w:bCs/>
        </w:rPr>
        <w:t>区</w:t>
      </w:r>
      <w:r>
        <w:rPr>
          <w:rFonts w:cs="Times New Roman"/>
          <w:b w:val="0"/>
          <w:bCs/>
        </w:rPr>
        <w:t>县（市）地方金融工作部门开展非现场监管，承担与</w:t>
      </w:r>
      <w:r>
        <w:rPr>
          <w:rFonts w:hint="eastAsia" w:cs="Times New Roman"/>
          <w:b w:val="0"/>
          <w:bCs/>
        </w:rPr>
        <w:t>国家和省、市有关部门的</w:t>
      </w:r>
      <w:r>
        <w:rPr>
          <w:rFonts w:cs="Times New Roman"/>
          <w:b w:val="0"/>
          <w:bCs/>
        </w:rPr>
        <w:t>监管协调职责。</w:t>
      </w:r>
    </w:p>
    <w:p>
      <w:pPr>
        <w:ind w:firstLine="640"/>
        <w:rPr>
          <w:rFonts w:cs="Times New Roman"/>
          <w:b w:val="0"/>
          <w:bCs/>
        </w:rPr>
      </w:pPr>
      <w:r>
        <w:rPr>
          <w:rFonts w:hint="eastAsia" w:cs="Times New Roman"/>
          <w:b w:val="0"/>
          <w:bCs/>
        </w:rPr>
        <w:t>市</w:t>
      </w:r>
      <w:r>
        <w:rPr>
          <w:rFonts w:cs="Times New Roman"/>
          <w:b w:val="0"/>
          <w:bCs/>
        </w:rPr>
        <w:t>地方金融</w:t>
      </w:r>
      <w:r>
        <w:rPr>
          <w:rFonts w:hint="eastAsia" w:cs="Times New Roman"/>
          <w:b w:val="0"/>
          <w:bCs/>
        </w:rPr>
        <w:t>监督管理</w:t>
      </w:r>
      <w:r>
        <w:rPr>
          <w:rFonts w:cs="Times New Roman"/>
          <w:b w:val="0"/>
          <w:bCs/>
        </w:rPr>
        <w:t>局各监管业务处室做好各自监管领域非现场监管报表的设计、发布，组织所辖地方金融组织非现场监管的实施，指导</w:t>
      </w:r>
      <w:r>
        <w:rPr>
          <w:rFonts w:hint="eastAsia" w:cs="Times New Roman"/>
          <w:b w:val="0"/>
          <w:bCs/>
        </w:rPr>
        <w:t>区</w:t>
      </w:r>
      <w:r>
        <w:rPr>
          <w:rFonts w:cs="Times New Roman"/>
          <w:b w:val="0"/>
          <w:bCs/>
        </w:rPr>
        <w:t>县（市）地方金融工作部门开展本领域的非现场监管具体工作。</w:t>
      </w:r>
    </w:p>
    <w:p>
      <w:pPr>
        <w:ind w:firstLine="640"/>
        <w:rPr>
          <w:rFonts w:cs="Times New Roman"/>
          <w:b w:val="0"/>
          <w:bCs/>
        </w:rPr>
      </w:pPr>
      <w:r>
        <w:rPr>
          <w:rFonts w:cs="Times New Roman"/>
          <w:b w:val="0"/>
          <w:bCs/>
        </w:rPr>
        <w:t>第</w:t>
      </w:r>
      <w:r>
        <w:rPr>
          <w:rFonts w:hint="eastAsia" w:cs="Times New Roman"/>
          <w:b w:val="0"/>
          <w:bCs/>
        </w:rPr>
        <w:t>七</w:t>
      </w:r>
      <w:r>
        <w:rPr>
          <w:rFonts w:cs="Times New Roman"/>
          <w:b w:val="0"/>
          <w:bCs/>
        </w:rPr>
        <w:t>条</w:t>
      </w:r>
      <w:r>
        <w:rPr>
          <w:rFonts w:hint="eastAsia" w:cs="Times New Roman"/>
          <w:b w:val="0"/>
          <w:bCs/>
        </w:rPr>
        <w:t xml:space="preserve">  各区</w:t>
      </w:r>
      <w:r>
        <w:rPr>
          <w:rFonts w:cs="Times New Roman"/>
          <w:b w:val="0"/>
          <w:bCs/>
        </w:rPr>
        <w:t>县（市）地方金融</w:t>
      </w:r>
      <w:r>
        <w:rPr>
          <w:rFonts w:hint="eastAsia" w:cs="Times New Roman"/>
          <w:b w:val="0"/>
          <w:bCs/>
        </w:rPr>
        <w:t>监督管理（</w:t>
      </w:r>
      <w:r>
        <w:rPr>
          <w:rFonts w:cs="Times New Roman"/>
          <w:b w:val="0"/>
          <w:bCs/>
        </w:rPr>
        <w:t>工作</w:t>
      </w:r>
      <w:r>
        <w:rPr>
          <w:rFonts w:hint="eastAsia" w:cs="Times New Roman"/>
          <w:b w:val="0"/>
          <w:bCs/>
        </w:rPr>
        <w:t>）</w:t>
      </w:r>
      <w:r>
        <w:rPr>
          <w:rFonts w:cs="Times New Roman"/>
          <w:b w:val="0"/>
          <w:bCs/>
        </w:rPr>
        <w:t>部门负责辖内地方金融组织非现场监管工作的具体落实</w:t>
      </w:r>
      <w:r>
        <w:rPr>
          <w:rFonts w:hint="eastAsia" w:cs="Times New Roman"/>
          <w:b w:val="0"/>
          <w:bCs/>
        </w:rPr>
        <w:t>，整合利用地方金融组织报送的数据及相关监测信息，加强对地方金融组织及行业风险监测，及时上报监管数据和非现场监管报告，并提出监管建议。</w:t>
      </w:r>
    </w:p>
    <w:p>
      <w:pPr>
        <w:ind w:firstLine="640"/>
        <w:rPr>
          <w:rFonts w:cs="Times New Roman"/>
          <w:b w:val="0"/>
          <w:bCs/>
        </w:rPr>
      </w:pPr>
      <w:r>
        <w:rPr>
          <w:rFonts w:cs="Times New Roman"/>
          <w:b w:val="0"/>
          <w:bCs/>
        </w:rPr>
        <w:t>第</w:t>
      </w:r>
      <w:r>
        <w:rPr>
          <w:rFonts w:hint="eastAsia" w:cs="Times New Roman"/>
          <w:b w:val="0"/>
          <w:bCs/>
        </w:rPr>
        <w:t>八</w:t>
      </w:r>
      <w:r>
        <w:rPr>
          <w:rFonts w:cs="Times New Roman"/>
          <w:b w:val="0"/>
          <w:bCs/>
        </w:rPr>
        <w:t>条</w:t>
      </w:r>
      <w:r>
        <w:rPr>
          <w:rFonts w:hint="eastAsia" w:cs="Times New Roman"/>
          <w:b w:val="0"/>
          <w:bCs/>
        </w:rPr>
        <w:t xml:space="preserve">  </w:t>
      </w:r>
      <w:r>
        <w:rPr>
          <w:rFonts w:cs="Times New Roman"/>
          <w:b w:val="0"/>
          <w:bCs/>
        </w:rPr>
        <w:t>地方金融监督管理</w:t>
      </w:r>
      <w:r>
        <w:rPr>
          <w:rFonts w:hint="eastAsia" w:cs="Times New Roman"/>
          <w:b w:val="0"/>
          <w:bCs/>
        </w:rPr>
        <w:t>（</w:t>
      </w:r>
      <w:r>
        <w:rPr>
          <w:rFonts w:cs="Times New Roman"/>
          <w:b w:val="0"/>
          <w:bCs/>
        </w:rPr>
        <w:t>工作</w:t>
      </w:r>
      <w:r>
        <w:rPr>
          <w:rFonts w:hint="eastAsia" w:cs="Times New Roman"/>
          <w:b w:val="0"/>
          <w:bCs/>
        </w:rPr>
        <w:t>）</w:t>
      </w:r>
      <w:r>
        <w:rPr>
          <w:rFonts w:cs="Times New Roman"/>
          <w:b w:val="0"/>
          <w:bCs/>
        </w:rPr>
        <w:t>部门加强与人行、银保监、证监、市场监管、公安以及其他相关政府部门的信息共享，强化监管协调，形成监管合力。</w:t>
      </w:r>
    </w:p>
    <w:p>
      <w:pPr>
        <w:ind w:firstLine="640"/>
        <w:rPr>
          <w:rFonts w:cs="Times New Roman"/>
          <w:b w:val="0"/>
          <w:bCs/>
        </w:rPr>
      </w:pPr>
    </w:p>
    <w:p>
      <w:pPr>
        <w:ind w:firstLine="0" w:firstLineChars="0"/>
        <w:jc w:val="center"/>
        <w:rPr>
          <w:rFonts w:eastAsia="黑体" w:cs="Times New Roman"/>
          <w:b w:val="0"/>
          <w:bCs/>
          <w:kern w:val="28"/>
          <w:szCs w:val="32"/>
        </w:rPr>
      </w:pPr>
      <w:r>
        <w:rPr>
          <w:rFonts w:eastAsia="黑体" w:cs="Times New Roman" w:hAnsiTheme="majorHAnsi"/>
          <w:b w:val="0"/>
          <w:bCs/>
          <w:kern w:val="28"/>
          <w:szCs w:val="32"/>
        </w:rPr>
        <w:t>第三章</w:t>
      </w:r>
      <w:r>
        <w:rPr>
          <w:rFonts w:eastAsia="黑体" w:cs="Times New Roman"/>
          <w:b w:val="0"/>
          <w:bCs/>
          <w:kern w:val="28"/>
          <w:szCs w:val="32"/>
        </w:rPr>
        <w:t xml:space="preserve">  </w:t>
      </w:r>
      <w:r>
        <w:rPr>
          <w:rFonts w:hint="eastAsia" w:eastAsia="黑体" w:cs="Times New Roman" w:hAnsiTheme="majorHAnsi"/>
          <w:b w:val="0"/>
          <w:bCs/>
          <w:kern w:val="28"/>
          <w:szCs w:val="32"/>
        </w:rPr>
        <w:t>机构</w:t>
      </w:r>
      <w:r>
        <w:rPr>
          <w:rFonts w:eastAsia="黑体" w:cs="Times New Roman" w:hAnsiTheme="majorHAnsi"/>
          <w:b w:val="0"/>
          <w:bCs/>
          <w:kern w:val="28"/>
          <w:szCs w:val="32"/>
        </w:rPr>
        <w:t>非现场监管</w:t>
      </w:r>
    </w:p>
    <w:p>
      <w:pPr>
        <w:ind w:firstLine="0" w:firstLineChars="0"/>
        <w:jc w:val="center"/>
        <w:rPr>
          <w:rFonts w:cs="Times New Roman"/>
          <w:b w:val="0"/>
          <w:bCs/>
        </w:rPr>
      </w:pPr>
    </w:p>
    <w:p>
      <w:pPr>
        <w:ind w:firstLine="0" w:firstLineChars="0"/>
        <w:jc w:val="center"/>
        <w:rPr>
          <w:rFonts w:eastAsia="黑体" w:cs="Times New Roman"/>
          <w:b w:val="0"/>
          <w:bCs/>
        </w:rPr>
      </w:pPr>
      <w:r>
        <w:rPr>
          <w:rFonts w:hAnsi="黑体" w:eastAsia="黑体" w:cs="Times New Roman"/>
          <w:b w:val="0"/>
          <w:bCs/>
        </w:rPr>
        <w:t>第一节</w:t>
      </w:r>
      <w:r>
        <w:rPr>
          <w:rFonts w:eastAsia="黑体" w:cs="Times New Roman"/>
          <w:b w:val="0"/>
          <w:bCs/>
        </w:rPr>
        <w:t xml:space="preserve">  </w:t>
      </w:r>
      <w:r>
        <w:rPr>
          <w:rFonts w:hAnsi="黑体" w:eastAsia="黑体" w:cs="Times New Roman"/>
          <w:b w:val="0"/>
          <w:bCs/>
        </w:rPr>
        <w:t>信息收集</w:t>
      </w:r>
    </w:p>
    <w:p>
      <w:pPr>
        <w:ind w:firstLine="640"/>
        <w:rPr>
          <w:rFonts w:cs="Times New Roman"/>
          <w:b w:val="0"/>
          <w:bCs/>
        </w:rPr>
      </w:pPr>
      <w:r>
        <w:rPr>
          <w:rFonts w:cs="Times New Roman"/>
          <w:b w:val="0"/>
          <w:bCs/>
        </w:rPr>
        <w:t>第</w:t>
      </w:r>
      <w:r>
        <w:rPr>
          <w:rFonts w:hint="eastAsia" w:cs="Times New Roman"/>
          <w:b w:val="0"/>
          <w:bCs/>
        </w:rPr>
        <w:t>九</w:t>
      </w:r>
      <w:r>
        <w:rPr>
          <w:rFonts w:cs="Times New Roman"/>
          <w:b w:val="0"/>
          <w:bCs/>
        </w:rPr>
        <w:t xml:space="preserve">条 </w:t>
      </w:r>
      <w:r>
        <w:rPr>
          <w:rFonts w:hint="eastAsia" w:cs="Times New Roman" w:asciiTheme="minorHAnsi" w:hAnsiTheme="minorHAnsi"/>
          <w:b w:val="0"/>
          <w:bCs/>
        </w:rPr>
        <w:t xml:space="preserve"> </w:t>
      </w:r>
      <w:r>
        <w:rPr>
          <w:rFonts w:hint="eastAsia" w:cs="Times New Roman"/>
          <w:b w:val="0"/>
          <w:bCs/>
        </w:rPr>
        <w:t>市</w:t>
      </w:r>
      <w:r>
        <w:rPr>
          <w:rFonts w:cs="Times New Roman"/>
          <w:b w:val="0"/>
          <w:bCs/>
        </w:rPr>
        <w:t>地方金融</w:t>
      </w:r>
      <w:r>
        <w:rPr>
          <w:rFonts w:hint="eastAsia" w:cs="Times New Roman"/>
          <w:b w:val="0"/>
          <w:bCs/>
        </w:rPr>
        <w:t>监督管理</w:t>
      </w:r>
      <w:r>
        <w:rPr>
          <w:rFonts w:cs="Times New Roman"/>
          <w:b w:val="0"/>
          <w:bCs/>
        </w:rPr>
        <w:t>局各监管业务处室建立数据报送工作制度，</w:t>
      </w:r>
      <w:r>
        <w:rPr>
          <w:rFonts w:hint="eastAsia" w:cs="Times New Roman"/>
          <w:b w:val="0"/>
          <w:bCs/>
        </w:rPr>
        <w:t>明确地方金融组织报送的数据内容、报送时间和程序，提出具体的报送要求。</w:t>
      </w:r>
    </w:p>
    <w:p>
      <w:pPr>
        <w:ind w:firstLine="640"/>
        <w:rPr>
          <w:rFonts w:cs="Times New Roman"/>
          <w:b w:val="0"/>
          <w:bCs/>
        </w:rPr>
      </w:pPr>
      <w:r>
        <w:rPr>
          <w:rFonts w:hint="eastAsia" w:cs="Times New Roman"/>
          <w:b w:val="0"/>
          <w:bCs/>
        </w:rPr>
        <w:t>数据</w:t>
      </w:r>
      <w:r>
        <w:rPr>
          <w:rFonts w:cs="Times New Roman"/>
          <w:b w:val="0"/>
          <w:bCs/>
        </w:rPr>
        <w:t>报送内容主要包括财务会计报告、经营报告、注册会计师出具的年度审计报告等材料，主要股东经营困难、主要负责人失联、发生流动性风险等严重影响经营的重大事项</w:t>
      </w:r>
      <w:r>
        <w:rPr>
          <w:rFonts w:hint="eastAsia" w:cs="Times New Roman"/>
          <w:b w:val="0"/>
          <w:bCs/>
        </w:rPr>
        <w:t>及相关监管内容</w:t>
      </w:r>
      <w:r>
        <w:rPr>
          <w:rFonts w:cs="Times New Roman"/>
          <w:b w:val="0"/>
          <w:bCs/>
        </w:rPr>
        <w:t>。</w:t>
      </w:r>
    </w:p>
    <w:p>
      <w:pPr>
        <w:ind w:firstLine="640"/>
        <w:rPr>
          <w:rFonts w:cs="Times New Roman"/>
          <w:b w:val="0"/>
          <w:bCs/>
        </w:rPr>
      </w:pPr>
      <w:r>
        <w:rPr>
          <w:rFonts w:cs="Times New Roman"/>
          <w:b w:val="0"/>
          <w:bCs/>
        </w:rPr>
        <w:t>第十条</w:t>
      </w:r>
      <w:r>
        <w:rPr>
          <w:rFonts w:hint="eastAsia" w:cs="Times New Roman" w:asciiTheme="minorHAnsi" w:hAnsiTheme="minorHAnsi"/>
          <w:b w:val="0"/>
          <w:bCs/>
        </w:rPr>
        <w:t xml:space="preserve">  </w:t>
      </w:r>
      <w:r>
        <w:rPr>
          <w:rFonts w:cs="Times New Roman"/>
          <w:b w:val="0"/>
          <w:bCs/>
        </w:rPr>
        <w:t>根据履行职责的需要，地方金融</w:t>
      </w:r>
      <w:r>
        <w:rPr>
          <w:rFonts w:cs="Times New Roman" w:asciiTheme="minorHAnsi" w:hAnsiTheme="minorHAnsi"/>
          <w:b w:val="0"/>
          <w:bCs/>
        </w:rPr>
        <w:t>监督管理</w:t>
      </w:r>
      <w:r>
        <w:rPr>
          <w:rFonts w:hint="eastAsia" w:cs="Times New Roman" w:asciiTheme="minorHAnsi" w:hAnsiTheme="minorHAnsi"/>
          <w:b w:val="0"/>
          <w:bCs/>
        </w:rPr>
        <w:t>（</w:t>
      </w:r>
      <w:r>
        <w:rPr>
          <w:rFonts w:cs="Times New Roman"/>
          <w:b w:val="0"/>
          <w:bCs/>
        </w:rPr>
        <w:t>工作</w:t>
      </w:r>
      <w:r>
        <w:rPr>
          <w:rFonts w:hint="eastAsia" w:cs="Times New Roman" w:asciiTheme="minorHAnsi" w:hAnsiTheme="minorHAnsi"/>
          <w:b w:val="0"/>
          <w:bCs/>
        </w:rPr>
        <w:t>）</w:t>
      </w:r>
      <w:r>
        <w:rPr>
          <w:rFonts w:cs="Times New Roman"/>
          <w:b w:val="0"/>
          <w:bCs/>
        </w:rPr>
        <w:t>部门可以要求地方金融组织报送报表之外的其他文件和资料，全面收集地方金融组织经营情况和风险状况。</w:t>
      </w:r>
    </w:p>
    <w:p>
      <w:pPr>
        <w:ind w:firstLine="640"/>
        <w:rPr>
          <w:rFonts w:cs="Times New Roman"/>
          <w:b w:val="0"/>
          <w:bCs/>
        </w:rPr>
      </w:pPr>
      <w:r>
        <w:rPr>
          <w:rFonts w:cs="Times New Roman"/>
          <w:b w:val="0"/>
          <w:bCs/>
        </w:rPr>
        <w:t>第十</w:t>
      </w:r>
      <w:r>
        <w:rPr>
          <w:rFonts w:hint="eastAsia" w:cs="Times New Roman"/>
          <w:b w:val="0"/>
          <w:bCs/>
        </w:rPr>
        <w:t>一</w:t>
      </w:r>
      <w:r>
        <w:rPr>
          <w:rFonts w:cs="Times New Roman"/>
          <w:b w:val="0"/>
          <w:bCs/>
        </w:rPr>
        <w:t>条</w:t>
      </w:r>
      <w:r>
        <w:rPr>
          <w:rFonts w:hint="eastAsia" w:cs="Times New Roman" w:asciiTheme="minorHAnsi" w:hAnsiTheme="minorHAnsi"/>
          <w:b w:val="0"/>
          <w:bCs/>
        </w:rPr>
        <w:t xml:space="preserve">  </w:t>
      </w:r>
      <w:r>
        <w:rPr>
          <w:rFonts w:hint="eastAsia" w:cs="Times New Roman"/>
          <w:b w:val="0"/>
          <w:bCs/>
        </w:rPr>
        <w:t>地方金融监督管理（工作）部门</w:t>
      </w:r>
      <w:r>
        <w:rPr>
          <w:rFonts w:cs="Times New Roman"/>
          <w:b w:val="0"/>
          <w:bCs/>
        </w:rPr>
        <w:t>可以就地方金融组织提供的数据质量和指标准确性，进行问询、约谈、专项评估等。</w:t>
      </w:r>
    </w:p>
    <w:p>
      <w:pPr>
        <w:ind w:firstLine="640"/>
        <w:rPr>
          <w:rFonts w:cs="Times New Roman"/>
          <w:b w:val="0"/>
          <w:bCs/>
        </w:rPr>
      </w:pPr>
      <w:r>
        <w:rPr>
          <w:rFonts w:cs="Times New Roman"/>
          <w:b w:val="0"/>
          <w:bCs/>
        </w:rPr>
        <w:t>充分</w:t>
      </w:r>
      <w:r>
        <w:rPr>
          <w:rFonts w:hint="eastAsia" w:cs="Times New Roman"/>
          <w:b w:val="0"/>
          <w:bCs/>
        </w:rPr>
        <w:t>运用</w:t>
      </w:r>
      <w:r>
        <w:rPr>
          <w:rFonts w:cs="Times New Roman"/>
          <w:b w:val="0"/>
          <w:bCs/>
        </w:rPr>
        <w:t>金融风险“天罗地网”监测防控系统的监测功能</w:t>
      </w:r>
      <w:r>
        <w:rPr>
          <w:rFonts w:hint="eastAsia" w:cs="Times New Roman"/>
          <w:b w:val="0"/>
          <w:bCs/>
        </w:rPr>
        <w:t>及其他渠道</w:t>
      </w:r>
      <w:r>
        <w:rPr>
          <w:rFonts w:cs="Times New Roman"/>
          <w:b w:val="0"/>
          <w:bCs/>
        </w:rPr>
        <w:t>，对反映地方金融组织经营管理中重大变化事项的信息，及时予以核实。</w:t>
      </w:r>
    </w:p>
    <w:p>
      <w:pPr>
        <w:ind w:firstLine="0" w:firstLineChars="0"/>
        <w:jc w:val="center"/>
        <w:rPr>
          <w:rFonts w:eastAsia="黑体" w:cs="Times New Roman"/>
          <w:b w:val="0"/>
          <w:bCs/>
        </w:rPr>
      </w:pPr>
      <w:r>
        <w:rPr>
          <w:rFonts w:hAnsi="黑体" w:eastAsia="黑体" w:cs="Times New Roman"/>
          <w:b w:val="0"/>
          <w:bCs/>
        </w:rPr>
        <w:t>第二节</w:t>
      </w:r>
      <w:r>
        <w:rPr>
          <w:rFonts w:eastAsia="黑体" w:cs="Times New Roman"/>
          <w:b w:val="0"/>
          <w:bCs/>
        </w:rPr>
        <w:t xml:space="preserve">  </w:t>
      </w:r>
      <w:r>
        <w:rPr>
          <w:rFonts w:hAnsi="黑体" w:eastAsia="黑体" w:cs="Times New Roman"/>
          <w:b w:val="0"/>
          <w:bCs/>
        </w:rPr>
        <w:t>评估分析</w:t>
      </w:r>
    </w:p>
    <w:p>
      <w:pPr>
        <w:ind w:firstLine="640"/>
        <w:rPr>
          <w:rFonts w:cs="Times New Roman"/>
          <w:b w:val="0"/>
          <w:bCs/>
        </w:rPr>
      </w:pPr>
      <w:r>
        <w:rPr>
          <w:rFonts w:cs="Times New Roman"/>
          <w:b w:val="0"/>
          <w:bCs/>
        </w:rPr>
        <w:t>第十</w:t>
      </w:r>
      <w:r>
        <w:rPr>
          <w:rFonts w:hint="eastAsia" w:cs="Times New Roman"/>
          <w:b w:val="0"/>
          <w:bCs/>
        </w:rPr>
        <w:t>二</w:t>
      </w:r>
      <w:r>
        <w:rPr>
          <w:rFonts w:cs="Times New Roman"/>
          <w:b w:val="0"/>
          <w:bCs/>
        </w:rPr>
        <w:t>条</w:t>
      </w:r>
      <w:r>
        <w:rPr>
          <w:rFonts w:hint="eastAsia" w:cs="Times New Roman" w:asciiTheme="minorHAnsi" w:hAnsiTheme="minorHAnsi"/>
          <w:b w:val="0"/>
          <w:bCs/>
        </w:rPr>
        <w:t xml:space="preserve">  </w:t>
      </w:r>
      <w:r>
        <w:rPr>
          <w:rFonts w:cs="Times New Roman"/>
          <w:b w:val="0"/>
          <w:bCs/>
        </w:rPr>
        <w:t>地方金融</w:t>
      </w:r>
      <w:r>
        <w:rPr>
          <w:rFonts w:cs="Times New Roman" w:asciiTheme="minorHAnsi" w:hAnsiTheme="minorHAnsi"/>
          <w:b w:val="0"/>
          <w:bCs/>
        </w:rPr>
        <w:t>监督管理</w:t>
      </w:r>
      <w:r>
        <w:rPr>
          <w:rFonts w:hint="eastAsia" w:cs="Times New Roman" w:asciiTheme="minorHAnsi" w:hAnsiTheme="minorHAnsi"/>
          <w:b w:val="0"/>
          <w:bCs/>
        </w:rPr>
        <w:t>（</w:t>
      </w:r>
      <w:r>
        <w:rPr>
          <w:rFonts w:cs="Times New Roman"/>
          <w:b w:val="0"/>
          <w:bCs/>
        </w:rPr>
        <w:t>工作</w:t>
      </w:r>
      <w:r>
        <w:rPr>
          <w:rFonts w:hint="eastAsia" w:cs="Times New Roman" w:asciiTheme="minorHAnsi" w:hAnsiTheme="minorHAnsi"/>
          <w:b w:val="0"/>
          <w:bCs/>
        </w:rPr>
        <w:t>）</w:t>
      </w:r>
      <w:r>
        <w:rPr>
          <w:rFonts w:cs="Times New Roman"/>
          <w:b w:val="0"/>
          <w:bCs/>
        </w:rPr>
        <w:t>部门</w:t>
      </w:r>
      <w:r>
        <w:rPr>
          <w:rFonts w:hint="eastAsia" w:cs="Times New Roman"/>
          <w:b w:val="0"/>
          <w:bCs/>
        </w:rPr>
        <w:t>根据对地方金融组织报送的原始数据信息的分析情况，及时整理形成地方金融组织机构非现场监管报表和行业分类监管报表。监管报表数据包括但不限于地方金融组织注册资本、业务规模、杠杆率、业务集中度、经营利润、不良率等指标。</w:t>
      </w:r>
    </w:p>
    <w:p>
      <w:pPr>
        <w:ind w:firstLine="640"/>
        <w:rPr>
          <w:rFonts w:cs="Times New Roman"/>
          <w:b w:val="0"/>
          <w:bCs/>
        </w:rPr>
      </w:pPr>
      <w:r>
        <w:rPr>
          <w:rFonts w:hint="eastAsia" w:cs="Times New Roman"/>
          <w:b w:val="0"/>
          <w:bCs/>
        </w:rPr>
        <w:t>各类地方金融组织非现场监管报表由各监管业务处室另行制定，并按照监管要求做好动态更新。国家对相关地方金融组织监管报表制度已有规定的，从其规定。</w:t>
      </w:r>
    </w:p>
    <w:p>
      <w:pPr>
        <w:ind w:firstLine="640"/>
        <w:rPr>
          <w:rFonts w:cs="Times New Roman"/>
          <w:b w:val="0"/>
          <w:bCs/>
        </w:rPr>
      </w:pPr>
      <w:r>
        <w:rPr>
          <w:rFonts w:cs="Times New Roman"/>
          <w:b w:val="0"/>
          <w:bCs/>
        </w:rPr>
        <w:t>第十</w:t>
      </w:r>
      <w:r>
        <w:rPr>
          <w:rFonts w:hint="eastAsia" w:cs="Times New Roman"/>
          <w:b w:val="0"/>
          <w:bCs/>
        </w:rPr>
        <w:t>三</w:t>
      </w:r>
      <w:r>
        <w:rPr>
          <w:rFonts w:cs="Times New Roman"/>
          <w:b w:val="0"/>
          <w:bCs/>
        </w:rPr>
        <w:t>条</w:t>
      </w:r>
      <w:r>
        <w:rPr>
          <w:rFonts w:hint="eastAsia" w:cs="Times New Roman" w:asciiTheme="minorHAnsi" w:hAnsiTheme="minorHAnsi"/>
          <w:b w:val="0"/>
          <w:bCs/>
        </w:rPr>
        <w:t xml:space="preserve">  </w:t>
      </w:r>
      <w:r>
        <w:rPr>
          <w:rFonts w:cs="Times New Roman"/>
          <w:b w:val="0"/>
          <w:bCs/>
        </w:rPr>
        <w:t>地方金融</w:t>
      </w:r>
      <w:r>
        <w:rPr>
          <w:rFonts w:cs="Times New Roman" w:asciiTheme="minorHAnsi" w:hAnsiTheme="minorHAnsi"/>
          <w:b w:val="0"/>
          <w:bCs/>
        </w:rPr>
        <w:t>监督管理</w:t>
      </w:r>
      <w:r>
        <w:rPr>
          <w:rFonts w:hint="eastAsia" w:cs="Times New Roman" w:asciiTheme="minorHAnsi" w:hAnsiTheme="minorHAnsi"/>
          <w:b w:val="0"/>
          <w:bCs/>
        </w:rPr>
        <w:t>（</w:t>
      </w:r>
      <w:r>
        <w:rPr>
          <w:rFonts w:cs="Times New Roman"/>
          <w:b w:val="0"/>
          <w:bCs/>
        </w:rPr>
        <w:t>工作</w:t>
      </w:r>
      <w:r>
        <w:rPr>
          <w:rFonts w:hint="eastAsia" w:cs="Times New Roman" w:asciiTheme="minorHAnsi" w:hAnsiTheme="minorHAnsi"/>
          <w:b w:val="0"/>
          <w:bCs/>
        </w:rPr>
        <w:t>）</w:t>
      </w:r>
      <w:r>
        <w:rPr>
          <w:rFonts w:cs="Times New Roman"/>
          <w:b w:val="0"/>
          <w:bCs/>
        </w:rPr>
        <w:t>部门</w:t>
      </w:r>
      <w:r>
        <w:rPr>
          <w:rFonts w:hint="eastAsia" w:cs="Times New Roman"/>
          <w:b w:val="0"/>
          <w:bCs/>
        </w:rPr>
        <w:t>通过研读分析地方金融组织财务会计报告、经营报告、审计报告及日常相关数据，对信息的完整性、逻辑关系、勾稽关系进行审核，及时关注经营异常情况。</w:t>
      </w:r>
    </w:p>
    <w:p>
      <w:pPr>
        <w:ind w:firstLine="640"/>
        <w:rPr>
          <w:rFonts w:cs="Times New Roman"/>
          <w:b w:val="0"/>
          <w:bCs/>
        </w:rPr>
      </w:pPr>
      <w:r>
        <w:rPr>
          <w:rFonts w:cs="Times New Roman"/>
          <w:b w:val="0"/>
          <w:bCs/>
        </w:rPr>
        <w:t>重点关注地方金融组织公司治理、团队稳定性、内部控制、风险管理、投资者适当性等情况</w:t>
      </w:r>
      <w:r>
        <w:rPr>
          <w:rFonts w:hint="eastAsia" w:cs="Times New Roman"/>
          <w:b w:val="0"/>
          <w:bCs/>
        </w:rPr>
        <w:t>，从过程管理等方面做出评价</w:t>
      </w:r>
      <w:r>
        <w:rPr>
          <w:rFonts w:cs="Times New Roman"/>
          <w:b w:val="0"/>
          <w:bCs/>
        </w:rPr>
        <w:t>。</w:t>
      </w:r>
    </w:p>
    <w:p>
      <w:pPr>
        <w:ind w:firstLine="640"/>
        <w:rPr>
          <w:rFonts w:cs="Times New Roman"/>
          <w:b w:val="0"/>
          <w:bCs/>
        </w:rPr>
      </w:pPr>
      <w:r>
        <w:rPr>
          <w:rFonts w:cs="Times New Roman"/>
          <w:b w:val="0"/>
          <w:bCs/>
        </w:rPr>
        <w:t>第</w:t>
      </w:r>
      <w:r>
        <w:rPr>
          <w:rFonts w:hint="eastAsia" w:cs="Times New Roman"/>
          <w:b w:val="0"/>
          <w:bCs/>
        </w:rPr>
        <w:t>十四</w:t>
      </w:r>
      <w:r>
        <w:rPr>
          <w:rFonts w:cs="Times New Roman"/>
          <w:b w:val="0"/>
          <w:bCs/>
        </w:rPr>
        <w:t>条</w:t>
      </w:r>
      <w:r>
        <w:rPr>
          <w:rFonts w:hint="eastAsia" w:cs="Times New Roman" w:asciiTheme="minorHAnsi" w:hAnsiTheme="minorHAnsi"/>
          <w:b w:val="0"/>
          <w:bCs/>
        </w:rPr>
        <w:t xml:space="preserve">  </w:t>
      </w:r>
      <w:r>
        <w:rPr>
          <w:rFonts w:cs="Times New Roman"/>
          <w:b w:val="0"/>
          <w:bCs/>
        </w:rPr>
        <w:t>地方金融</w:t>
      </w:r>
      <w:r>
        <w:rPr>
          <w:rFonts w:cs="Times New Roman" w:asciiTheme="minorHAnsi" w:hAnsiTheme="minorHAnsi"/>
          <w:b w:val="0"/>
          <w:bCs/>
        </w:rPr>
        <w:t>监督管理</w:t>
      </w:r>
      <w:r>
        <w:rPr>
          <w:rFonts w:hint="eastAsia" w:cs="Times New Roman" w:asciiTheme="minorHAnsi" w:hAnsiTheme="minorHAnsi"/>
          <w:b w:val="0"/>
          <w:bCs/>
        </w:rPr>
        <w:t>（</w:t>
      </w:r>
      <w:r>
        <w:rPr>
          <w:rFonts w:cs="Times New Roman"/>
          <w:b w:val="0"/>
          <w:bCs/>
        </w:rPr>
        <w:t>工作</w:t>
      </w:r>
      <w:r>
        <w:rPr>
          <w:rFonts w:hint="eastAsia" w:cs="Times New Roman" w:asciiTheme="minorHAnsi" w:hAnsiTheme="minorHAnsi"/>
          <w:b w:val="0"/>
          <w:bCs/>
        </w:rPr>
        <w:t>）</w:t>
      </w:r>
      <w:r>
        <w:rPr>
          <w:rFonts w:cs="Times New Roman"/>
          <w:b w:val="0"/>
          <w:bCs/>
        </w:rPr>
        <w:t>部门对所监管的地方金融组织的重大风险、异常变动、突发事件等情况，应当及时撰写专题分析报告，</w:t>
      </w:r>
      <w:r>
        <w:rPr>
          <w:rFonts w:hint="eastAsia" w:cs="Times New Roman"/>
          <w:b w:val="0"/>
          <w:bCs/>
        </w:rPr>
        <w:t>描述风险情况，分析问题原因，并提出处置建议</w:t>
      </w:r>
      <w:r>
        <w:rPr>
          <w:rFonts w:cs="Times New Roman"/>
          <w:b w:val="0"/>
          <w:bCs/>
        </w:rPr>
        <w:t>。</w:t>
      </w:r>
    </w:p>
    <w:p>
      <w:pPr>
        <w:ind w:firstLine="640"/>
        <w:rPr>
          <w:rFonts w:cs="Times New Roman"/>
          <w:b w:val="0"/>
          <w:bCs/>
        </w:rPr>
      </w:pPr>
    </w:p>
    <w:p>
      <w:pPr>
        <w:ind w:firstLine="0" w:firstLineChars="0"/>
        <w:jc w:val="center"/>
        <w:rPr>
          <w:rFonts w:eastAsia="黑体" w:cs="Times New Roman"/>
          <w:b w:val="0"/>
          <w:bCs/>
        </w:rPr>
      </w:pPr>
      <w:r>
        <w:rPr>
          <w:rFonts w:hAnsi="黑体" w:eastAsia="黑体" w:cs="Times New Roman"/>
          <w:b w:val="0"/>
          <w:bCs/>
        </w:rPr>
        <w:t>第三节</w:t>
      </w:r>
      <w:r>
        <w:rPr>
          <w:rFonts w:eastAsia="黑体" w:cs="Times New Roman"/>
          <w:b w:val="0"/>
          <w:bCs/>
        </w:rPr>
        <w:t xml:space="preserve">  </w:t>
      </w:r>
      <w:r>
        <w:rPr>
          <w:rFonts w:hint="eastAsia" w:hAnsi="黑体" w:eastAsia="黑体" w:cs="Times New Roman"/>
          <w:b w:val="0"/>
          <w:bCs/>
        </w:rPr>
        <w:t>风险处置</w:t>
      </w:r>
    </w:p>
    <w:p>
      <w:pPr>
        <w:ind w:firstLine="640"/>
        <w:rPr>
          <w:rFonts w:cs="Times New Roman"/>
          <w:b w:val="0"/>
          <w:bCs/>
        </w:rPr>
      </w:pPr>
      <w:r>
        <w:rPr>
          <w:rFonts w:cs="Times New Roman" w:hAnsiTheme="minorHAnsi"/>
          <w:b w:val="0"/>
          <w:bCs/>
        </w:rPr>
        <w:t>第十</w:t>
      </w:r>
      <w:r>
        <w:rPr>
          <w:rFonts w:hint="eastAsia" w:cs="Times New Roman" w:hAnsiTheme="minorHAnsi"/>
          <w:b w:val="0"/>
          <w:bCs/>
        </w:rPr>
        <w:t>五</w:t>
      </w:r>
      <w:r>
        <w:rPr>
          <w:rFonts w:cs="Times New Roman" w:hAnsiTheme="minorHAnsi"/>
          <w:b w:val="0"/>
          <w:bCs/>
        </w:rPr>
        <w:t>条</w:t>
      </w:r>
      <w:r>
        <w:rPr>
          <w:rFonts w:hint="eastAsia" w:cs="Times New Roman" w:asciiTheme="minorHAnsi" w:hAnsiTheme="minorHAnsi"/>
          <w:b w:val="0"/>
          <w:bCs/>
        </w:rPr>
        <w:t xml:space="preserve">  </w:t>
      </w:r>
      <w:r>
        <w:rPr>
          <w:rFonts w:cs="Times New Roman" w:hAnsiTheme="minorHAnsi"/>
          <w:b w:val="0"/>
          <w:bCs/>
        </w:rPr>
        <w:t>根据非现场监管的风险分析和评价结果，地方金融监督管理（工作）部门适时采取相应的监管</w:t>
      </w:r>
      <w:r>
        <w:rPr>
          <w:rFonts w:cs="Times New Roman"/>
          <w:b w:val="0"/>
          <w:bCs/>
        </w:rPr>
        <w:t>措施，指导、提示地方金融组织了解和关注重点风险，督促其改进内部控制，提高管理水平，防范化解风险。</w:t>
      </w:r>
    </w:p>
    <w:p>
      <w:pPr>
        <w:ind w:firstLine="640"/>
        <w:rPr>
          <w:rFonts w:cs="Times New Roman"/>
          <w:b w:val="0"/>
          <w:bCs/>
        </w:rPr>
      </w:pPr>
      <w:r>
        <w:rPr>
          <w:rFonts w:cs="Times New Roman"/>
          <w:b w:val="0"/>
          <w:bCs/>
        </w:rPr>
        <w:t>第十</w:t>
      </w:r>
      <w:r>
        <w:rPr>
          <w:rFonts w:hint="eastAsia" w:cs="Times New Roman"/>
          <w:b w:val="0"/>
          <w:bCs/>
        </w:rPr>
        <w:t>六</w:t>
      </w:r>
      <w:r>
        <w:rPr>
          <w:rFonts w:cs="Times New Roman"/>
          <w:b w:val="0"/>
          <w:bCs/>
        </w:rPr>
        <w:t>条</w:t>
      </w:r>
      <w:r>
        <w:rPr>
          <w:rFonts w:hint="eastAsia" w:cs="Times New Roman"/>
          <w:b w:val="0"/>
          <w:bCs/>
        </w:rPr>
        <w:t xml:space="preserve">  </w:t>
      </w:r>
      <w:r>
        <w:rPr>
          <w:rFonts w:cs="Times New Roman"/>
          <w:b w:val="0"/>
          <w:bCs/>
        </w:rPr>
        <w:t>地方金融监督管理（工作）部门可以根据非现场监管结果，采取提高信息报送频率、督促开展自查、要求充实风险管理力量、进行监管谈话、责令整改、开展现场检查等措施。</w:t>
      </w:r>
    </w:p>
    <w:p>
      <w:pPr>
        <w:ind w:firstLine="640"/>
        <w:rPr>
          <w:rFonts w:cs="Times New Roman"/>
          <w:b w:val="0"/>
          <w:bCs/>
        </w:rPr>
      </w:pPr>
      <w:r>
        <w:rPr>
          <w:rFonts w:cs="Times New Roman"/>
          <w:b w:val="0"/>
          <w:bCs/>
        </w:rPr>
        <w:t>第十</w:t>
      </w:r>
      <w:r>
        <w:rPr>
          <w:rFonts w:hint="eastAsia" w:cs="Times New Roman"/>
          <w:b w:val="0"/>
          <w:bCs/>
        </w:rPr>
        <w:t>七</w:t>
      </w:r>
      <w:r>
        <w:rPr>
          <w:rFonts w:cs="Times New Roman"/>
          <w:b w:val="0"/>
          <w:bCs/>
        </w:rPr>
        <w:t>条</w:t>
      </w:r>
      <w:r>
        <w:rPr>
          <w:rFonts w:hint="eastAsia" w:cs="Times New Roman" w:asciiTheme="minorHAnsi" w:hAnsiTheme="minorHAnsi"/>
          <w:b w:val="0"/>
          <w:bCs/>
        </w:rPr>
        <w:t xml:space="preserve">  </w:t>
      </w:r>
      <w:r>
        <w:rPr>
          <w:rFonts w:hint="eastAsia" w:cs="Times New Roman"/>
          <w:b w:val="0"/>
          <w:bCs/>
        </w:rPr>
        <w:t>对非现场监管过程中发现的重大风险问题，</w:t>
      </w:r>
      <w:r>
        <w:rPr>
          <w:rFonts w:cs="Times New Roman"/>
          <w:b w:val="0"/>
          <w:bCs/>
        </w:rPr>
        <w:t>地方金融监督管理（工作）部门</w:t>
      </w:r>
      <w:r>
        <w:rPr>
          <w:rFonts w:hint="eastAsia" w:cs="Times New Roman"/>
          <w:b w:val="0"/>
          <w:bCs/>
        </w:rPr>
        <w:t>及时开展现场检查，组织同级部门展开协调处置，重大处置措施及时向属地政府和上级部门书面专题报告。</w:t>
      </w:r>
    </w:p>
    <w:p>
      <w:pPr>
        <w:ind w:firstLine="640"/>
        <w:rPr>
          <w:rFonts w:cs="Times New Roman"/>
          <w:b w:val="0"/>
          <w:bCs/>
        </w:rPr>
      </w:pPr>
      <w:r>
        <w:rPr>
          <w:rFonts w:cs="Times New Roman"/>
          <w:b w:val="0"/>
          <w:bCs/>
        </w:rPr>
        <w:t>针对重大风险，</w:t>
      </w:r>
      <w:r>
        <w:rPr>
          <w:rFonts w:hint="eastAsia" w:cs="Times New Roman"/>
          <w:b w:val="0"/>
          <w:bCs/>
        </w:rPr>
        <w:t>属地政府和</w:t>
      </w:r>
      <w:r>
        <w:rPr>
          <w:rFonts w:cs="Times New Roman"/>
          <w:b w:val="0"/>
          <w:bCs/>
        </w:rPr>
        <w:t>上级部门根据下级部门的提请，视需要组织开展协调。</w:t>
      </w:r>
    </w:p>
    <w:p>
      <w:pPr>
        <w:ind w:firstLine="640"/>
        <w:rPr>
          <w:rFonts w:cs="Times New Roman"/>
          <w:b w:val="0"/>
          <w:bCs/>
        </w:rPr>
      </w:pPr>
    </w:p>
    <w:p>
      <w:pPr>
        <w:ind w:firstLine="0" w:firstLineChars="0"/>
        <w:jc w:val="center"/>
        <w:rPr>
          <w:rFonts w:eastAsia="黑体" w:cs="Times New Roman"/>
          <w:b w:val="0"/>
          <w:bCs/>
          <w:kern w:val="28"/>
          <w:szCs w:val="32"/>
        </w:rPr>
      </w:pPr>
      <w:r>
        <w:rPr>
          <w:rFonts w:eastAsia="黑体" w:cs="Times New Roman" w:hAnsiTheme="majorHAnsi"/>
          <w:b w:val="0"/>
          <w:bCs/>
          <w:kern w:val="28"/>
          <w:szCs w:val="32"/>
        </w:rPr>
        <w:t>第四章</w:t>
      </w:r>
      <w:r>
        <w:rPr>
          <w:rFonts w:eastAsia="黑体" w:cs="Times New Roman"/>
          <w:b w:val="0"/>
          <w:bCs/>
          <w:kern w:val="28"/>
          <w:szCs w:val="32"/>
        </w:rPr>
        <w:t xml:space="preserve">  </w:t>
      </w:r>
      <w:r>
        <w:rPr>
          <w:rFonts w:eastAsia="黑体" w:cs="Times New Roman" w:hAnsiTheme="majorHAnsi"/>
          <w:b w:val="0"/>
          <w:bCs/>
          <w:kern w:val="28"/>
          <w:szCs w:val="32"/>
        </w:rPr>
        <w:t>行业风险监测预警</w:t>
      </w:r>
    </w:p>
    <w:p>
      <w:pPr>
        <w:ind w:firstLine="0" w:firstLineChars="0"/>
        <w:jc w:val="center"/>
        <w:rPr>
          <w:rFonts w:eastAsia="黑体" w:cs="Times New Roman"/>
          <w:b w:val="0"/>
          <w:bCs/>
          <w:kern w:val="28"/>
          <w:szCs w:val="32"/>
        </w:rPr>
      </w:pPr>
    </w:p>
    <w:p>
      <w:pPr>
        <w:ind w:firstLine="640"/>
        <w:rPr>
          <w:rFonts w:cs="Times New Roman"/>
          <w:b w:val="0"/>
          <w:bCs/>
        </w:rPr>
      </w:pPr>
      <w:r>
        <w:rPr>
          <w:rFonts w:cs="Times New Roman"/>
          <w:b w:val="0"/>
          <w:bCs/>
        </w:rPr>
        <w:t>第十</w:t>
      </w:r>
      <w:r>
        <w:rPr>
          <w:rFonts w:hint="eastAsia" w:cs="Times New Roman"/>
          <w:b w:val="0"/>
          <w:bCs/>
        </w:rPr>
        <w:t>八</w:t>
      </w:r>
      <w:r>
        <w:rPr>
          <w:rFonts w:cs="Times New Roman"/>
          <w:b w:val="0"/>
          <w:bCs/>
        </w:rPr>
        <w:t>条</w:t>
      </w:r>
      <w:r>
        <w:rPr>
          <w:rFonts w:hint="eastAsia" w:cs="Times New Roman" w:asciiTheme="minorHAnsi" w:hAnsiTheme="minorHAnsi"/>
          <w:b w:val="0"/>
          <w:bCs/>
        </w:rPr>
        <w:t xml:space="preserve">  </w:t>
      </w:r>
      <w:r>
        <w:rPr>
          <w:rFonts w:cs="Times New Roman"/>
          <w:b w:val="0"/>
          <w:bCs/>
        </w:rPr>
        <w:t>地方金融监督管理（工作）部门</w:t>
      </w:r>
      <w:r>
        <w:rPr>
          <w:rFonts w:hint="eastAsia" w:cs="Times New Roman"/>
          <w:b w:val="0"/>
          <w:bCs/>
        </w:rPr>
        <w:t>在单体机构非现场监管的基础上，</w:t>
      </w:r>
      <w:r>
        <w:rPr>
          <w:rFonts w:cs="Times New Roman"/>
          <w:b w:val="0"/>
          <w:bCs/>
        </w:rPr>
        <w:t>加强宏观经济对地方金融组织整体经营的影响、各类地方金融组织内部相互联系产生的风险及其蔓延等情况的关注，开展地方金融组织行业风险监测预警。</w:t>
      </w:r>
    </w:p>
    <w:p>
      <w:pPr>
        <w:ind w:firstLine="640"/>
        <w:rPr>
          <w:rFonts w:cs="Times New Roman"/>
          <w:b w:val="0"/>
          <w:bCs/>
        </w:rPr>
      </w:pPr>
      <w:r>
        <w:rPr>
          <w:rFonts w:cs="Times New Roman"/>
          <w:b w:val="0"/>
          <w:bCs/>
        </w:rPr>
        <w:t>第十</w:t>
      </w:r>
      <w:r>
        <w:rPr>
          <w:rFonts w:hint="eastAsia" w:cs="Times New Roman"/>
          <w:b w:val="0"/>
          <w:bCs/>
        </w:rPr>
        <w:t>九</w:t>
      </w:r>
      <w:r>
        <w:rPr>
          <w:rFonts w:cs="Times New Roman"/>
          <w:b w:val="0"/>
          <w:bCs/>
        </w:rPr>
        <w:t>条</w:t>
      </w:r>
      <w:r>
        <w:rPr>
          <w:rFonts w:hint="eastAsia" w:cs="Times New Roman" w:asciiTheme="minorHAnsi" w:hAnsiTheme="minorHAnsi"/>
          <w:b w:val="0"/>
          <w:bCs/>
        </w:rPr>
        <w:t xml:space="preserve">  </w:t>
      </w:r>
      <w:r>
        <w:rPr>
          <w:rFonts w:cs="Times New Roman"/>
          <w:b w:val="0"/>
          <w:bCs/>
        </w:rPr>
        <w:t>加强综合信息采集等基础性工作，通过银行报送、监管统计及第三方信息等渠道及时、准确、全面地收集信息，开展地方金融组织行业风险监测预警。</w:t>
      </w:r>
    </w:p>
    <w:p>
      <w:pPr>
        <w:ind w:firstLine="640"/>
        <w:rPr>
          <w:rFonts w:cs="Times New Roman"/>
          <w:b w:val="0"/>
          <w:bCs/>
        </w:rPr>
      </w:pPr>
      <w:r>
        <w:rPr>
          <w:rFonts w:cs="Times New Roman"/>
          <w:b w:val="0"/>
          <w:bCs/>
        </w:rPr>
        <w:t>第</w:t>
      </w:r>
      <w:r>
        <w:rPr>
          <w:rFonts w:hint="eastAsia" w:cs="Times New Roman"/>
          <w:b w:val="0"/>
          <w:bCs/>
        </w:rPr>
        <w:t>二十</w:t>
      </w:r>
      <w:r>
        <w:rPr>
          <w:rFonts w:cs="Times New Roman"/>
          <w:b w:val="0"/>
          <w:bCs/>
        </w:rPr>
        <w:t>条</w:t>
      </w:r>
      <w:r>
        <w:rPr>
          <w:rFonts w:hint="eastAsia" w:cs="Times New Roman" w:asciiTheme="minorHAnsi" w:hAnsiTheme="minorHAnsi"/>
          <w:b w:val="0"/>
          <w:bCs/>
        </w:rPr>
        <w:t xml:space="preserve">  </w:t>
      </w:r>
      <w:r>
        <w:rPr>
          <w:rFonts w:cs="Times New Roman"/>
          <w:b w:val="0"/>
          <w:bCs/>
        </w:rPr>
        <w:t>地方金融组织行业风险监测预警重点关注以下内容：</w:t>
      </w:r>
    </w:p>
    <w:p>
      <w:pPr>
        <w:ind w:firstLine="640"/>
        <w:rPr>
          <w:rFonts w:cs="Times New Roman"/>
          <w:b w:val="0"/>
          <w:bCs/>
        </w:rPr>
      </w:pPr>
      <w:r>
        <w:rPr>
          <w:rFonts w:cs="Times New Roman"/>
          <w:b w:val="0"/>
          <w:bCs/>
        </w:rPr>
        <w:t>（一）宏观经济运行情况、金融政策调整对行业的影响；</w:t>
      </w:r>
    </w:p>
    <w:p>
      <w:pPr>
        <w:ind w:firstLine="640"/>
        <w:rPr>
          <w:rFonts w:cs="Times New Roman"/>
          <w:b w:val="0"/>
          <w:bCs/>
        </w:rPr>
      </w:pPr>
      <w:r>
        <w:rPr>
          <w:rFonts w:cs="Times New Roman"/>
          <w:b w:val="0"/>
          <w:bCs/>
        </w:rPr>
        <w:t>（二）金融风险的跨行业传递；</w:t>
      </w:r>
    </w:p>
    <w:p>
      <w:pPr>
        <w:ind w:firstLine="640"/>
        <w:rPr>
          <w:rFonts w:cs="Times New Roman"/>
          <w:b w:val="0"/>
          <w:bCs/>
        </w:rPr>
      </w:pPr>
      <w:r>
        <w:rPr>
          <w:rFonts w:cs="Times New Roman"/>
          <w:b w:val="0"/>
          <w:bCs/>
        </w:rPr>
        <w:t>（三）各类地方金融组织的总体风险情况；</w:t>
      </w:r>
    </w:p>
    <w:p>
      <w:pPr>
        <w:ind w:firstLine="640"/>
        <w:rPr>
          <w:rFonts w:cs="Times New Roman"/>
          <w:b w:val="0"/>
          <w:bCs/>
        </w:rPr>
      </w:pPr>
      <w:r>
        <w:rPr>
          <w:rFonts w:cs="Times New Roman"/>
          <w:b w:val="0"/>
          <w:bCs/>
        </w:rPr>
        <w:t>（四）特定时期特定地域内的经济、金融市场对地方金融组织的影响；</w:t>
      </w:r>
    </w:p>
    <w:p>
      <w:pPr>
        <w:ind w:firstLine="640"/>
        <w:rPr>
          <w:rFonts w:cs="Times New Roman"/>
          <w:b w:val="0"/>
          <w:bCs/>
        </w:rPr>
      </w:pPr>
      <w:r>
        <w:rPr>
          <w:rFonts w:cs="Times New Roman"/>
          <w:b w:val="0"/>
          <w:bCs/>
        </w:rPr>
        <w:t>（五）其他需要关注的风险情况。</w:t>
      </w:r>
    </w:p>
    <w:p>
      <w:pPr>
        <w:ind w:firstLine="640"/>
        <w:rPr>
          <w:rFonts w:cs="Times New Roman" w:asciiTheme="minorHAnsi" w:hAnsiTheme="minorHAnsi"/>
          <w:b w:val="0"/>
          <w:bCs/>
        </w:rPr>
      </w:pPr>
      <w:r>
        <w:rPr>
          <w:rFonts w:cs="Times New Roman"/>
          <w:b w:val="0"/>
          <w:bCs/>
        </w:rPr>
        <w:t>第</w:t>
      </w:r>
      <w:r>
        <w:rPr>
          <w:rFonts w:hint="eastAsia" w:cs="Times New Roman"/>
          <w:b w:val="0"/>
          <w:bCs/>
        </w:rPr>
        <w:t>二</w:t>
      </w:r>
      <w:r>
        <w:rPr>
          <w:rFonts w:cs="Times New Roman"/>
          <w:b w:val="0"/>
          <w:bCs/>
        </w:rPr>
        <w:t>十</w:t>
      </w:r>
      <w:r>
        <w:rPr>
          <w:rFonts w:hint="eastAsia" w:cs="Times New Roman"/>
          <w:b w:val="0"/>
          <w:bCs/>
        </w:rPr>
        <w:t>一</w:t>
      </w:r>
      <w:r>
        <w:rPr>
          <w:rFonts w:cs="Times New Roman"/>
          <w:b w:val="0"/>
          <w:bCs/>
        </w:rPr>
        <w:t>条</w:t>
      </w:r>
      <w:r>
        <w:rPr>
          <w:rFonts w:hint="eastAsia" w:cs="Times New Roman" w:asciiTheme="minorHAnsi" w:hAnsiTheme="minorHAnsi"/>
          <w:b w:val="0"/>
          <w:bCs/>
        </w:rPr>
        <w:t xml:space="preserve">  地方金融监督管理（工作）部门及时对收集到的行业数据信息进行分析研判，并结合调研、座谈、走访等方式，形成分行业监管报告。</w:t>
      </w:r>
    </w:p>
    <w:p>
      <w:pPr>
        <w:ind w:firstLine="640"/>
        <w:rPr>
          <w:rFonts w:cs="Times New Roman" w:asciiTheme="minorHAnsi" w:hAnsiTheme="minorHAnsi"/>
          <w:b w:val="0"/>
          <w:bCs/>
        </w:rPr>
      </w:pPr>
      <w:r>
        <w:rPr>
          <w:rFonts w:hint="eastAsia" w:cs="Times New Roman" w:asciiTheme="minorHAnsi" w:hAnsiTheme="minorHAnsi"/>
          <w:b w:val="0"/>
          <w:bCs/>
        </w:rPr>
        <w:t>分行业监管报告按照月度、季度、年度进行报送，其中月度报告可以表格形式报送数据，季度报告需附简要文字说明，年度报告应当全面完整反映情况。</w:t>
      </w:r>
    </w:p>
    <w:p>
      <w:pPr>
        <w:ind w:firstLine="640"/>
        <w:rPr>
          <w:rFonts w:cs="Times New Roman" w:asciiTheme="minorHAnsi" w:hAnsiTheme="minorHAnsi"/>
          <w:b w:val="0"/>
          <w:bCs/>
        </w:rPr>
      </w:pPr>
      <w:r>
        <w:rPr>
          <w:rFonts w:cs="Times New Roman"/>
          <w:b w:val="0"/>
          <w:bCs/>
        </w:rPr>
        <w:t>第</w:t>
      </w:r>
      <w:r>
        <w:rPr>
          <w:rFonts w:hint="eastAsia" w:cs="Times New Roman"/>
          <w:b w:val="0"/>
          <w:bCs/>
        </w:rPr>
        <w:t>二</w:t>
      </w:r>
      <w:r>
        <w:rPr>
          <w:rFonts w:cs="Times New Roman"/>
          <w:b w:val="0"/>
          <w:bCs/>
        </w:rPr>
        <w:t>十</w:t>
      </w:r>
      <w:r>
        <w:rPr>
          <w:rFonts w:hint="eastAsia" w:cs="Times New Roman"/>
          <w:b w:val="0"/>
          <w:bCs/>
        </w:rPr>
        <w:t>二</w:t>
      </w:r>
      <w:r>
        <w:rPr>
          <w:rFonts w:cs="Times New Roman"/>
          <w:b w:val="0"/>
          <w:bCs/>
        </w:rPr>
        <w:t xml:space="preserve">条 </w:t>
      </w:r>
      <w:r>
        <w:rPr>
          <w:rFonts w:hint="eastAsia" w:cs="Times New Roman" w:asciiTheme="minorHAnsi" w:hAnsiTheme="minorHAnsi"/>
          <w:b w:val="0"/>
          <w:bCs/>
        </w:rPr>
        <w:t xml:space="preserve"> 行业年度监管报告包括但不限于辖内地方金融组织基本情况及重点变化、存在的问题和风险情况、重点风险机构、对经济社会的贡献及下步监管工作安排等内容。</w:t>
      </w:r>
    </w:p>
    <w:p>
      <w:pPr>
        <w:ind w:firstLine="640"/>
        <w:rPr>
          <w:rFonts w:cs="Times New Roman"/>
          <w:b w:val="0"/>
          <w:bCs/>
        </w:rPr>
      </w:pPr>
      <w:r>
        <w:rPr>
          <w:rFonts w:hint="eastAsia" w:cs="Times New Roman"/>
          <w:b w:val="0"/>
          <w:bCs/>
        </w:rPr>
        <w:t>相关地方金融组织已经开展年审年检或年度分类评级工作的，年审年检或评级报告可以作为年度监管报告使用。市</w:t>
      </w:r>
      <w:r>
        <w:rPr>
          <w:rFonts w:cs="Times New Roman"/>
          <w:b w:val="0"/>
          <w:bCs/>
        </w:rPr>
        <w:t>地方金融</w:t>
      </w:r>
      <w:r>
        <w:rPr>
          <w:rFonts w:hint="eastAsia" w:cs="Times New Roman"/>
          <w:b w:val="0"/>
          <w:bCs/>
        </w:rPr>
        <w:t>监督管理</w:t>
      </w:r>
      <w:r>
        <w:rPr>
          <w:rFonts w:cs="Times New Roman"/>
          <w:b w:val="0"/>
          <w:bCs/>
        </w:rPr>
        <w:t>局各监管业务处室</w:t>
      </w:r>
      <w:r>
        <w:rPr>
          <w:rFonts w:hint="eastAsia" w:cs="Times New Roman"/>
          <w:b w:val="0"/>
          <w:bCs/>
        </w:rPr>
        <w:t>做好统筹安排，确保时间节点的一致性。</w:t>
      </w:r>
    </w:p>
    <w:p>
      <w:pPr>
        <w:ind w:firstLine="640"/>
        <w:rPr>
          <w:rFonts w:cs="Times New Roman"/>
          <w:b w:val="0"/>
          <w:bCs/>
        </w:rPr>
      </w:pPr>
      <w:r>
        <w:rPr>
          <w:rFonts w:cs="Times New Roman"/>
          <w:b w:val="0"/>
          <w:bCs/>
        </w:rPr>
        <w:t>第</w:t>
      </w:r>
      <w:r>
        <w:rPr>
          <w:rFonts w:hint="eastAsia" w:cs="Times New Roman"/>
          <w:b w:val="0"/>
          <w:bCs/>
        </w:rPr>
        <w:t>二</w:t>
      </w:r>
      <w:r>
        <w:rPr>
          <w:rFonts w:cs="Times New Roman"/>
          <w:b w:val="0"/>
          <w:bCs/>
        </w:rPr>
        <w:t>十</w:t>
      </w:r>
      <w:r>
        <w:rPr>
          <w:rFonts w:hint="eastAsia" w:cs="Times New Roman"/>
          <w:b w:val="0"/>
          <w:bCs/>
        </w:rPr>
        <w:t>三</w:t>
      </w:r>
      <w:r>
        <w:rPr>
          <w:rFonts w:cs="Times New Roman"/>
          <w:b w:val="0"/>
          <w:bCs/>
        </w:rPr>
        <w:t>条</w:t>
      </w:r>
      <w:r>
        <w:rPr>
          <w:rFonts w:hint="eastAsia" w:cs="Times New Roman" w:asciiTheme="minorHAnsi" w:hAnsiTheme="minorHAnsi"/>
          <w:b w:val="0"/>
          <w:bCs/>
        </w:rPr>
        <w:t xml:space="preserve">  </w:t>
      </w:r>
      <w:r>
        <w:rPr>
          <w:rFonts w:cs="Times New Roman"/>
          <w:b w:val="0"/>
          <w:bCs/>
        </w:rPr>
        <w:t>各</w:t>
      </w:r>
      <w:r>
        <w:rPr>
          <w:rFonts w:hint="eastAsia" w:cs="Times New Roman"/>
          <w:b w:val="0"/>
          <w:bCs/>
        </w:rPr>
        <w:t>区县（市）</w:t>
      </w:r>
      <w:r>
        <w:rPr>
          <w:rFonts w:cs="Times New Roman"/>
          <w:b w:val="0"/>
          <w:bCs/>
        </w:rPr>
        <w:t>金融</w:t>
      </w:r>
      <w:r>
        <w:rPr>
          <w:rFonts w:hint="eastAsia" w:cs="Times New Roman"/>
          <w:b w:val="0"/>
          <w:bCs/>
        </w:rPr>
        <w:t>监管（工作）部门分别</w:t>
      </w:r>
      <w:r>
        <w:rPr>
          <w:rFonts w:cs="Times New Roman"/>
          <w:b w:val="0"/>
          <w:bCs/>
        </w:rPr>
        <w:t>于</w:t>
      </w:r>
      <w:r>
        <w:rPr>
          <w:rFonts w:hint="eastAsia" w:cs="Times New Roman"/>
          <w:b w:val="0"/>
          <w:bCs/>
        </w:rPr>
        <w:t>次月5日、季后10日、</w:t>
      </w:r>
      <w:r>
        <w:rPr>
          <w:rFonts w:cs="Times New Roman"/>
          <w:b w:val="0"/>
          <w:bCs/>
        </w:rPr>
        <w:t>次年</w:t>
      </w:r>
      <w:r>
        <w:rPr>
          <w:rFonts w:hint="eastAsia" w:cs="Times New Roman"/>
          <w:b w:val="0"/>
          <w:bCs/>
        </w:rPr>
        <w:t>1</w:t>
      </w:r>
      <w:r>
        <w:rPr>
          <w:rFonts w:cs="Times New Roman"/>
          <w:b w:val="0"/>
          <w:bCs/>
        </w:rPr>
        <w:t>月底前，将辖内地方金融组织监管</w:t>
      </w:r>
      <w:r>
        <w:rPr>
          <w:rFonts w:hint="eastAsia" w:cs="Times New Roman"/>
          <w:b w:val="0"/>
          <w:bCs/>
        </w:rPr>
        <w:t>月度、季度、</w:t>
      </w:r>
      <w:r>
        <w:rPr>
          <w:rFonts w:cs="Times New Roman"/>
          <w:b w:val="0"/>
          <w:bCs/>
        </w:rPr>
        <w:t>年度报告报送</w:t>
      </w:r>
      <w:r>
        <w:rPr>
          <w:rFonts w:hint="eastAsia" w:cs="Times New Roman"/>
          <w:b w:val="0"/>
          <w:bCs/>
        </w:rPr>
        <w:t>市</w:t>
      </w:r>
      <w:r>
        <w:rPr>
          <w:rFonts w:cs="Times New Roman"/>
          <w:b w:val="0"/>
          <w:bCs/>
        </w:rPr>
        <w:t>地方金融</w:t>
      </w:r>
      <w:r>
        <w:rPr>
          <w:rFonts w:hint="eastAsia" w:cs="Times New Roman"/>
          <w:b w:val="0"/>
          <w:bCs/>
        </w:rPr>
        <w:t>监督管理</w:t>
      </w:r>
      <w:r>
        <w:rPr>
          <w:rFonts w:cs="Times New Roman"/>
          <w:b w:val="0"/>
          <w:bCs/>
        </w:rPr>
        <w:t>局</w:t>
      </w:r>
      <w:r>
        <w:rPr>
          <w:rFonts w:hint="eastAsia" w:cs="Times New Roman"/>
          <w:b w:val="0"/>
          <w:bCs/>
        </w:rPr>
        <w:t>，市</w:t>
      </w:r>
      <w:r>
        <w:rPr>
          <w:rFonts w:cs="Times New Roman"/>
          <w:b w:val="0"/>
          <w:bCs/>
        </w:rPr>
        <w:t>局各监管业务处室分类形成地方金融组织行业监管报告。</w:t>
      </w:r>
    </w:p>
    <w:p>
      <w:pPr>
        <w:ind w:firstLine="640"/>
        <w:rPr>
          <w:rFonts w:cs="Times New Roman"/>
          <w:b w:val="0"/>
          <w:bCs/>
        </w:rPr>
      </w:pPr>
      <w:r>
        <w:rPr>
          <w:rFonts w:cs="Times New Roman"/>
          <w:b w:val="0"/>
          <w:bCs/>
        </w:rPr>
        <w:t>第</w:t>
      </w:r>
      <w:r>
        <w:rPr>
          <w:rFonts w:hint="eastAsia" w:cs="Times New Roman"/>
          <w:b w:val="0"/>
          <w:bCs/>
        </w:rPr>
        <w:t>二</w:t>
      </w:r>
      <w:r>
        <w:rPr>
          <w:rFonts w:cs="Times New Roman"/>
          <w:b w:val="0"/>
          <w:bCs/>
        </w:rPr>
        <w:t>十</w:t>
      </w:r>
      <w:r>
        <w:rPr>
          <w:rFonts w:hint="eastAsia" w:cs="Times New Roman"/>
          <w:b w:val="0"/>
          <w:bCs/>
        </w:rPr>
        <w:t>四</w:t>
      </w:r>
      <w:r>
        <w:rPr>
          <w:rFonts w:cs="Times New Roman"/>
          <w:b w:val="0"/>
          <w:bCs/>
        </w:rPr>
        <w:t>条</w:t>
      </w:r>
      <w:r>
        <w:rPr>
          <w:rFonts w:hint="eastAsia" w:cs="Times New Roman" w:asciiTheme="minorHAnsi" w:hAnsiTheme="minorHAnsi"/>
          <w:b w:val="0"/>
          <w:bCs/>
        </w:rPr>
        <w:t xml:space="preserve">  </w:t>
      </w:r>
      <w:r>
        <w:rPr>
          <w:rFonts w:cs="Times New Roman"/>
          <w:b w:val="0"/>
          <w:bCs/>
        </w:rPr>
        <w:t>地方金融监督管理（工作）部门</w:t>
      </w:r>
      <w:r>
        <w:rPr>
          <w:rFonts w:hint="eastAsia" w:cs="Times New Roman"/>
          <w:b w:val="0"/>
          <w:bCs/>
        </w:rPr>
        <w:t>可以根据风险监管</w:t>
      </w:r>
      <w:r>
        <w:rPr>
          <w:rFonts w:cs="Times New Roman"/>
          <w:b w:val="0"/>
          <w:bCs/>
        </w:rPr>
        <w:t>需要，组织召开工作例会，分析行业性风险发展变化情况，研究监管对策。</w:t>
      </w:r>
    </w:p>
    <w:p>
      <w:pPr>
        <w:ind w:firstLine="640"/>
        <w:rPr>
          <w:rFonts w:cs="Times New Roman"/>
          <w:b w:val="0"/>
          <w:bCs/>
        </w:rPr>
      </w:pPr>
      <w:r>
        <w:rPr>
          <w:rFonts w:cs="Times New Roman"/>
          <w:b w:val="0"/>
          <w:bCs/>
        </w:rPr>
        <w:t>第</w:t>
      </w:r>
      <w:r>
        <w:rPr>
          <w:rFonts w:hint="eastAsia" w:cs="Times New Roman"/>
          <w:b w:val="0"/>
          <w:bCs/>
        </w:rPr>
        <w:t>二十五</w:t>
      </w:r>
      <w:r>
        <w:rPr>
          <w:rFonts w:cs="Times New Roman"/>
          <w:b w:val="0"/>
          <w:bCs/>
        </w:rPr>
        <w:t>条</w:t>
      </w:r>
      <w:r>
        <w:rPr>
          <w:rFonts w:hint="eastAsia" w:cs="Times New Roman"/>
          <w:b w:val="0"/>
          <w:bCs/>
        </w:rPr>
        <w:t xml:space="preserve">  </w:t>
      </w:r>
      <w:r>
        <w:rPr>
          <w:rFonts w:cs="Times New Roman"/>
          <w:b w:val="0"/>
          <w:bCs/>
        </w:rPr>
        <w:t>根据行业风险防控</w:t>
      </w:r>
      <w:r>
        <w:rPr>
          <w:rFonts w:hint="eastAsia" w:cs="Times New Roman"/>
          <w:b w:val="0"/>
          <w:bCs/>
        </w:rPr>
        <w:t>和监管</w:t>
      </w:r>
      <w:r>
        <w:rPr>
          <w:rFonts w:cs="Times New Roman"/>
          <w:b w:val="0"/>
          <w:bCs/>
        </w:rPr>
        <w:t>需要，地方金融监督管理（工作）部门可以采取风险提示、通报、约谈、窗口指导等措施进行监管</w:t>
      </w:r>
      <w:r>
        <w:rPr>
          <w:rFonts w:hint="eastAsia" w:cs="Times New Roman"/>
          <w:b w:val="0"/>
          <w:bCs/>
        </w:rPr>
        <w:t>，并</w:t>
      </w:r>
      <w:r>
        <w:rPr>
          <w:rFonts w:cs="Times New Roman"/>
          <w:b w:val="0"/>
          <w:bCs/>
        </w:rPr>
        <w:t>要求地方金融组织制定应急预案、做出流动性承诺、资本补充承诺等预防性监管措施。</w:t>
      </w:r>
    </w:p>
    <w:p>
      <w:pPr>
        <w:ind w:firstLine="640"/>
        <w:rPr>
          <w:rFonts w:cs="Times New Roman"/>
          <w:b w:val="0"/>
          <w:bCs/>
        </w:rPr>
      </w:pPr>
    </w:p>
    <w:p>
      <w:pPr>
        <w:numPr>
          <w:ilvl w:val="0"/>
          <w:numId w:val="2"/>
        </w:numPr>
        <w:ind w:firstLine="0" w:firstLineChars="0"/>
        <w:jc w:val="center"/>
        <w:rPr>
          <w:rFonts w:eastAsia="黑体" w:cs="Times New Roman"/>
          <w:b w:val="0"/>
          <w:bCs/>
          <w:kern w:val="28"/>
          <w:szCs w:val="32"/>
        </w:rPr>
      </w:pPr>
      <w:r>
        <w:rPr>
          <w:rFonts w:hint="eastAsia" w:eastAsia="黑体" w:cs="Times New Roman"/>
          <w:b w:val="0"/>
          <w:bCs/>
          <w:kern w:val="28"/>
          <w:szCs w:val="32"/>
        </w:rPr>
        <w:t xml:space="preserve"> 档案整理</w:t>
      </w:r>
    </w:p>
    <w:p>
      <w:pPr>
        <w:ind w:firstLine="0" w:firstLineChars="0"/>
        <w:rPr>
          <w:rFonts w:eastAsia="黑体" w:cs="Times New Roman"/>
          <w:b w:val="0"/>
          <w:bCs/>
          <w:kern w:val="28"/>
          <w:szCs w:val="32"/>
        </w:rPr>
      </w:pPr>
    </w:p>
    <w:p>
      <w:pPr>
        <w:ind w:firstLine="640"/>
        <w:rPr>
          <w:rFonts w:cs="Times New Roman"/>
          <w:b w:val="0"/>
          <w:bCs/>
        </w:rPr>
      </w:pPr>
      <w:r>
        <w:rPr>
          <w:rFonts w:cs="Times New Roman"/>
          <w:b w:val="0"/>
          <w:bCs/>
        </w:rPr>
        <w:t>第</w:t>
      </w:r>
      <w:r>
        <w:rPr>
          <w:rFonts w:hint="eastAsia" w:cs="Times New Roman"/>
          <w:b w:val="0"/>
          <w:bCs/>
        </w:rPr>
        <w:t>二十六</w:t>
      </w:r>
      <w:r>
        <w:rPr>
          <w:rFonts w:cs="Times New Roman"/>
          <w:b w:val="0"/>
          <w:bCs/>
        </w:rPr>
        <w:t>条</w:t>
      </w:r>
      <w:r>
        <w:rPr>
          <w:rFonts w:hint="eastAsia" w:cs="Times New Roman"/>
          <w:b w:val="0"/>
          <w:bCs/>
        </w:rPr>
        <w:t xml:space="preserve">  </w:t>
      </w:r>
      <w:r>
        <w:rPr>
          <w:rFonts w:cs="Times New Roman"/>
          <w:b w:val="0"/>
          <w:bCs/>
        </w:rPr>
        <w:t>地方金融监督管理（工作）部门</w:t>
      </w:r>
      <w:r>
        <w:rPr>
          <w:rFonts w:hint="eastAsia" w:cs="Times New Roman"/>
          <w:b w:val="0"/>
          <w:bCs/>
        </w:rPr>
        <w:t>按照档案管理有关规定，对非现场监管资料进行收集、分类、整理，确保资料完整并及时归档。</w:t>
      </w:r>
    </w:p>
    <w:p>
      <w:pPr>
        <w:ind w:firstLine="640"/>
        <w:rPr>
          <w:rFonts w:cs="Times New Roman"/>
          <w:b w:val="0"/>
          <w:bCs/>
        </w:rPr>
      </w:pPr>
      <w:r>
        <w:rPr>
          <w:rFonts w:hint="eastAsia" w:cs="Times New Roman"/>
          <w:b w:val="0"/>
          <w:bCs/>
        </w:rPr>
        <w:t>非现场监管档案收集整理工作由各监管业务处室负责，办公室做好档案保管。</w:t>
      </w:r>
    </w:p>
    <w:p>
      <w:pPr>
        <w:ind w:firstLine="0" w:firstLineChars="0"/>
        <w:rPr>
          <w:rFonts w:eastAsia="黑体" w:cs="Times New Roman"/>
          <w:b w:val="0"/>
          <w:bCs/>
          <w:kern w:val="28"/>
          <w:szCs w:val="32"/>
        </w:rPr>
      </w:pPr>
    </w:p>
    <w:p>
      <w:pPr>
        <w:numPr>
          <w:ilvl w:val="0"/>
          <w:numId w:val="2"/>
        </w:numPr>
        <w:ind w:firstLine="0" w:firstLineChars="0"/>
        <w:jc w:val="center"/>
        <w:rPr>
          <w:rFonts w:eastAsia="黑体" w:cs="Times New Roman"/>
          <w:b w:val="0"/>
          <w:bCs/>
          <w:kern w:val="28"/>
          <w:szCs w:val="32"/>
        </w:rPr>
      </w:pPr>
      <w:r>
        <w:rPr>
          <w:rFonts w:hint="eastAsia" w:eastAsia="黑体" w:cs="Times New Roman"/>
          <w:b w:val="0"/>
          <w:bCs/>
          <w:kern w:val="28"/>
          <w:szCs w:val="32"/>
        </w:rPr>
        <w:t xml:space="preserve"> 附则</w:t>
      </w:r>
    </w:p>
    <w:p>
      <w:pPr>
        <w:ind w:firstLine="640"/>
        <w:rPr>
          <w:rFonts w:cs="Times New Roman"/>
          <w:b w:val="0"/>
          <w:bCs/>
        </w:rPr>
      </w:pPr>
    </w:p>
    <w:p>
      <w:pPr>
        <w:ind w:firstLine="640"/>
        <w:rPr>
          <w:rFonts w:cs="Times New Roman"/>
          <w:b w:val="0"/>
          <w:bCs/>
        </w:rPr>
      </w:pPr>
      <w:r>
        <w:rPr>
          <w:rFonts w:cs="Times New Roman"/>
          <w:b w:val="0"/>
          <w:bCs/>
        </w:rPr>
        <w:t>第</w:t>
      </w:r>
      <w:r>
        <w:rPr>
          <w:rFonts w:hint="eastAsia" w:cs="Times New Roman"/>
          <w:b w:val="0"/>
          <w:bCs/>
        </w:rPr>
        <w:t>二十七</w:t>
      </w:r>
      <w:r>
        <w:rPr>
          <w:rFonts w:cs="Times New Roman"/>
          <w:b w:val="0"/>
          <w:bCs/>
        </w:rPr>
        <w:t>条</w:t>
      </w:r>
      <w:r>
        <w:rPr>
          <w:rFonts w:hint="eastAsia" w:cs="Times New Roman" w:asciiTheme="minorHAnsi" w:hAnsiTheme="minorHAnsi"/>
          <w:b w:val="0"/>
          <w:bCs/>
        </w:rPr>
        <w:t xml:space="preserve">  本办法施行后，国务院、国务院金融监督管理机构以及其他有关部委出台的地方金融监管规定与本办法不一致的，按照新规定执行。</w:t>
      </w:r>
    </w:p>
    <w:p>
      <w:pPr>
        <w:ind w:firstLine="640"/>
        <w:rPr>
          <w:rFonts w:cs="Times New Roman"/>
          <w:b w:val="0"/>
          <w:bCs/>
        </w:rPr>
      </w:pPr>
      <w:r>
        <w:rPr>
          <w:rFonts w:cs="Times New Roman"/>
          <w:b w:val="0"/>
          <w:bCs/>
        </w:rPr>
        <w:t>第</w:t>
      </w:r>
      <w:r>
        <w:rPr>
          <w:rFonts w:hint="eastAsia" w:cs="Times New Roman"/>
          <w:b w:val="0"/>
          <w:bCs/>
        </w:rPr>
        <w:t>二十八</w:t>
      </w:r>
      <w:r>
        <w:rPr>
          <w:rFonts w:cs="Times New Roman"/>
          <w:b w:val="0"/>
          <w:bCs/>
        </w:rPr>
        <w:t>条</w:t>
      </w:r>
      <w:r>
        <w:rPr>
          <w:rFonts w:hint="eastAsia" w:cs="Times New Roman" w:asciiTheme="minorHAnsi" w:hAnsiTheme="minorHAnsi"/>
          <w:b w:val="0"/>
          <w:bCs/>
        </w:rPr>
        <w:t xml:space="preserve">  </w:t>
      </w:r>
      <w:r>
        <w:rPr>
          <w:rFonts w:cs="Times New Roman"/>
          <w:b w:val="0"/>
          <w:bCs/>
        </w:rPr>
        <w:t>本办法自202</w:t>
      </w:r>
      <w:r>
        <w:rPr>
          <w:rFonts w:hint="eastAsia" w:cs="Times New Roman"/>
          <w:b w:val="0"/>
          <w:bCs/>
        </w:rPr>
        <w:t>1</w:t>
      </w:r>
      <w:r>
        <w:rPr>
          <w:rFonts w:cs="Times New Roman"/>
          <w:b w:val="0"/>
          <w:bCs/>
        </w:rPr>
        <w:t>年</w:t>
      </w:r>
      <w:r>
        <w:rPr>
          <w:rFonts w:hint="eastAsia" w:cs="Times New Roman"/>
          <w:b w:val="0"/>
          <w:bCs/>
        </w:rPr>
        <w:t xml:space="preserve"> </w:t>
      </w:r>
      <w:r>
        <w:rPr>
          <w:rFonts w:cs="Times New Roman"/>
          <w:b w:val="0"/>
          <w:bCs/>
        </w:rPr>
        <w:t>月</w:t>
      </w:r>
      <w:r>
        <w:rPr>
          <w:rFonts w:hint="eastAsia" w:cs="Times New Roman"/>
          <w:b w:val="0"/>
          <w:bCs/>
        </w:rPr>
        <w:t xml:space="preserve"> </w:t>
      </w:r>
      <w:r>
        <w:rPr>
          <w:rFonts w:cs="Times New Roman"/>
          <w:b w:val="0"/>
          <w:bCs/>
        </w:rPr>
        <w:t>日起施行，由</w:t>
      </w:r>
      <w:r>
        <w:rPr>
          <w:rFonts w:hint="eastAsia" w:cs="Times New Roman"/>
          <w:b w:val="0"/>
          <w:bCs/>
        </w:rPr>
        <w:t>市</w:t>
      </w:r>
      <w:r>
        <w:rPr>
          <w:rFonts w:cs="Times New Roman"/>
          <w:b w:val="0"/>
          <w:bCs/>
        </w:rPr>
        <w:t>地方金融</w:t>
      </w:r>
      <w:r>
        <w:rPr>
          <w:rFonts w:hint="eastAsia" w:cs="Times New Roman"/>
          <w:b w:val="0"/>
          <w:bCs/>
        </w:rPr>
        <w:t>监督管理</w:t>
      </w:r>
      <w:r>
        <w:rPr>
          <w:rFonts w:cs="Times New Roman"/>
          <w:b w:val="0"/>
          <w:bCs/>
        </w:rPr>
        <w:t>局负责解释。</w:t>
      </w:r>
    </w:p>
    <w:p>
      <w:pPr>
        <w:widowControl/>
        <w:spacing w:line="240" w:lineRule="auto"/>
        <w:ind w:firstLine="0" w:firstLineChars="0"/>
        <w:jc w:val="left"/>
        <w:rPr>
          <w:b w:val="0"/>
          <w:bCs/>
          <w:color w:val="000000" w:themeColor="text1"/>
          <w14:textFill>
            <w14:solidFill>
              <w14:schemeClr w14:val="tx1"/>
            </w14:solidFill>
          </w14:textFill>
        </w:rPr>
      </w:pPr>
      <w:r>
        <w:rPr>
          <w:b w:val="0"/>
          <w:bCs/>
          <w:color w:val="000000" w:themeColor="text1"/>
          <w14:textFill>
            <w14:solidFill>
              <w14:schemeClr w14:val="tx1"/>
            </w14:solidFill>
          </w14:textFill>
        </w:rPr>
        <w:br w:type="page"/>
      </w:r>
    </w:p>
    <w:p>
      <w:pPr>
        <w:ind w:firstLine="0" w:firstLineChars="0"/>
        <w:jc w:val="center"/>
        <w:outlineLvl w:val="0"/>
        <w:rPr>
          <w:rFonts w:eastAsia="方正小标宋简体" w:cs="Times New Roman"/>
          <w:b w:val="0"/>
          <w:bCs/>
          <w:sz w:val="44"/>
          <w:szCs w:val="32"/>
        </w:rPr>
      </w:pPr>
      <w:r>
        <w:rPr>
          <w:rFonts w:hint="eastAsia" w:eastAsia="方正小标宋简体" w:cs="Times New Roman"/>
          <w:b w:val="0"/>
          <w:bCs/>
          <w:sz w:val="44"/>
          <w:szCs w:val="32"/>
        </w:rPr>
        <w:t>宁波市</w:t>
      </w:r>
      <w:r>
        <w:rPr>
          <w:rFonts w:eastAsia="方正小标宋简体" w:cs="Times New Roman"/>
          <w:b w:val="0"/>
          <w:bCs/>
          <w:sz w:val="44"/>
          <w:szCs w:val="32"/>
        </w:rPr>
        <w:t>地方金融监督管理局</w:t>
      </w:r>
    </w:p>
    <w:p>
      <w:pPr>
        <w:ind w:firstLine="0" w:firstLineChars="0"/>
        <w:jc w:val="center"/>
        <w:outlineLvl w:val="0"/>
        <w:rPr>
          <w:rFonts w:eastAsia="方正小标宋简体" w:cs="Times New Roman"/>
          <w:b w:val="0"/>
          <w:bCs/>
          <w:sz w:val="44"/>
          <w:szCs w:val="32"/>
        </w:rPr>
      </w:pPr>
      <w:r>
        <w:rPr>
          <w:rFonts w:eastAsia="方正小标宋简体" w:cs="Times New Roman"/>
          <w:b w:val="0"/>
          <w:bCs/>
          <w:sz w:val="44"/>
          <w:szCs w:val="32"/>
        </w:rPr>
        <w:t>地方金融组织现场检查</w:t>
      </w:r>
      <w:r>
        <w:rPr>
          <w:rFonts w:hint="eastAsia" w:eastAsia="方正小标宋简体" w:cs="Times New Roman"/>
          <w:b w:val="0"/>
          <w:bCs/>
          <w:sz w:val="44"/>
          <w:szCs w:val="32"/>
        </w:rPr>
        <w:t>暂行办法</w:t>
      </w:r>
    </w:p>
    <w:p>
      <w:pPr>
        <w:ind w:firstLine="0" w:firstLineChars="0"/>
        <w:jc w:val="center"/>
        <w:outlineLvl w:val="0"/>
        <w:rPr>
          <w:b w:val="0"/>
          <w:bCs/>
        </w:rPr>
      </w:pPr>
      <w:r>
        <w:rPr>
          <w:rFonts w:hint="eastAsia"/>
          <w:b w:val="0"/>
          <w:bCs/>
        </w:rPr>
        <w:t>（征求意见稿）</w:t>
      </w:r>
    </w:p>
    <w:p>
      <w:pPr>
        <w:ind w:firstLine="0" w:firstLineChars="0"/>
        <w:jc w:val="center"/>
        <w:outlineLvl w:val="1"/>
        <w:rPr>
          <w:rFonts w:eastAsia="黑体" w:cs="Times New Roman"/>
          <w:b w:val="0"/>
          <w:bCs/>
          <w:kern w:val="28"/>
          <w:szCs w:val="32"/>
        </w:rPr>
      </w:pPr>
      <w:r>
        <w:rPr>
          <w:rFonts w:hint="eastAsia" w:eastAsia="黑体" w:cs="Times New Roman"/>
          <w:b w:val="0"/>
          <w:bCs/>
          <w:kern w:val="28"/>
          <w:szCs w:val="32"/>
        </w:rPr>
        <w:t xml:space="preserve">第一章  </w:t>
      </w:r>
      <w:r>
        <w:rPr>
          <w:rFonts w:eastAsia="黑体" w:cs="Times New Roman"/>
          <w:b w:val="0"/>
          <w:bCs/>
          <w:kern w:val="28"/>
          <w:szCs w:val="32"/>
        </w:rPr>
        <w:t>总</w:t>
      </w:r>
      <w:r>
        <w:rPr>
          <w:rFonts w:hint="eastAsia" w:eastAsia="黑体" w:cs="Times New Roman"/>
          <w:b w:val="0"/>
          <w:bCs/>
          <w:kern w:val="28"/>
          <w:szCs w:val="32"/>
        </w:rPr>
        <w:t xml:space="preserve"> </w:t>
      </w:r>
      <w:r>
        <w:rPr>
          <w:rFonts w:eastAsia="黑体" w:cs="Times New Roman"/>
          <w:b w:val="0"/>
          <w:bCs/>
          <w:kern w:val="28"/>
          <w:szCs w:val="32"/>
        </w:rPr>
        <w:t>则</w:t>
      </w:r>
    </w:p>
    <w:p>
      <w:pPr>
        <w:ind w:firstLine="640"/>
        <w:rPr>
          <w:b w:val="0"/>
          <w:bCs/>
        </w:rPr>
      </w:pPr>
    </w:p>
    <w:p>
      <w:pPr>
        <w:ind w:firstLine="640"/>
        <w:rPr>
          <w:b w:val="0"/>
          <w:bCs/>
        </w:rPr>
      </w:pPr>
      <w:r>
        <w:rPr>
          <w:b w:val="0"/>
          <w:bCs/>
        </w:rPr>
        <w:t>第一条</w:t>
      </w:r>
      <w:r>
        <w:rPr>
          <w:rFonts w:hint="eastAsia"/>
          <w:b w:val="0"/>
          <w:bCs/>
        </w:rPr>
        <w:t xml:space="preserve">  </w:t>
      </w:r>
      <w:r>
        <w:rPr>
          <w:b w:val="0"/>
          <w:bCs/>
        </w:rPr>
        <w:t>为加强对地方金融组织的监督管理，</w:t>
      </w:r>
      <w:r>
        <w:rPr>
          <w:rFonts w:hint="eastAsia"/>
          <w:b w:val="0"/>
          <w:bCs/>
        </w:rPr>
        <w:t>规范</w:t>
      </w:r>
      <w:r>
        <w:rPr>
          <w:b w:val="0"/>
          <w:bCs/>
        </w:rPr>
        <w:t>现场检查行为，提升现场检查质效，促进行业健康发展，根据</w:t>
      </w:r>
      <w:r>
        <w:rPr>
          <w:rFonts w:hint="eastAsia"/>
          <w:b w:val="0"/>
          <w:bCs/>
        </w:rPr>
        <w:t>国家</w:t>
      </w:r>
      <w:r>
        <w:rPr>
          <w:b w:val="0"/>
          <w:bCs/>
        </w:rPr>
        <w:t>有关法律法规</w:t>
      </w:r>
      <w:r>
        <w:rPr>
          <w:rFonts w:hint="eastAsia"/>
          <w:b w:val="0"/>
          <w:bCs/>
        </w:rPr>
        <w:t>、</w:t>
      </w:r>
      <w:r>
        <w:rPr>
          <w:b w:val="0"/>
          <w:bCs/>
        </w:rPr>
        <w:t>《</w:t>
      </w:r>
      <w:r>
        <w:rPr>
          <w:rFonts w:hint="eastAsia"/>
          <w:b w:val="0"/>
          <w:bCs/>
        </w:rPr>
        <w:t>浙江省地方金融条例》及《浙江省地方金融监督管理局地方金融组织现场检查暂行办法》等</w:t>
      </w:r>
      <w:r>
        <w:rPr>
          <w:b w:val="0"/>
          <w:bCs/>
        </w:rPr>
        <w:t>规定，</w:t>
      </w:r>
      <w:r>
        <w:rPr>
          <w:rFonts w:hint="eastAsia"/>
          <w:b w:val="0"/>
          <w:bCs/>
        </w:rPr>
        <w:t>结合我市实际，</w:t>
      </w:r>
      <w:r>
        <w:rPr>
          <w:b w:val="0"/>
          <w:bCs/>
        </w:rPr>
        <w:t>制定本</w:t>
      </w:r>
      <w:r>
        <w:rPr>
          <w:rFonts w:hint="eastAsia"/>
          <w:b w:val="0"/>
          <w:bCs/>
        </w:rPr>
        <w:t>办法</w:t>
      </w:r>
      <w:r>
        <w:rPr>
          <w:b w:val="0"/>
          <w:bCs/>
        </w:rPr>
        <w:t>。</w:t>
      </w:r>
    </w:p>
    <w:p>
      <w:pPr>
        <w:ind w:firstLine="640"/>
        <w:rPr>
          <w:b w:val="0"/>
          <w:bCs/>
        </w:rPr>
      </w:pPr>
      <w:r>
        <w:rPr>
          <w:b w:val="0"/>
          <w:bCs/>
        </w:rPr>
        <w:t>第二条</w:t>
      </w:r>
      <w:r>
        <w:rPr>
          <w:rFonts w:hint="eastAsia"/>
          <w:b w:val="0"/>
          <w:bCs/>
        </w:rPr>
        <w:t xml:space="preserve">  </w:t>
      </w:r>
      <w:r>
        <w:rPr>
          <w:rFonts w:cs="Times New Roman"/>
          <w:b w:val="0"/>
          <w:bCs/>
        </w:rPr>
        <w:t>全</w:t>
      </w:r>
      <w:r>
        <w:rPr>
          <w:rFonts w:hint="eastAsia" w:cs="Times New Roman"/>
          <w:b w:val="0"/>
          <w:bCs/>
        </w:rPr>
        <w:t>市</w:t>
      </w:r>
      <w:r>
        <w:rPr>
          <w:rFonts w:cs="Times New Roman"/>
          <w:b w:val="0"/>
          <w:bCs/>
        </w:rPr>
        <w:t>各级地方金融监督管理</w:t>
      </w:r>
      <w:r>
        <w:rPr>
          <w:rFonts w:hint="eastAsia" w:cs="Times New Roman"/>
          <w:b w:val="0"/>
          <w:bCs/>
        </w:rPr>
        <w:t>（</w:t>
      </w:r>
      <w:r>
        <w:rPr>
          <w:rFonts w:cs="Times New Roman"/>
          <w:b w:val="0"/>
          <w:bCs/>
        </w:rPr>
        <w:t>工作</w:t>
      </w:r>
      <w:r>
        <w:rPr>
          <w:rFonts w:hint="eastAsia" w:cs="Times New Roman"/>
          <w:b w:val="0"/>
          <w:bCs/>
        </w:rPr>
        <w:t>）</w:t>
      </w:r>
      <w:r>
        <w:rPr>
          <w:rFonts w:cs="Times New Roman"/>
          <w:b w:val="0"/>
          <w:bCs/>
        </w:rPr>
        <w:t>部门依照本办法，对本行政区域</w:t>
      </w:r>
      <w:r>
        <w:rPr>
          <w:b w:val="0"/>
          <w:bCs/>
        </w:rPr>
        <w:t>内地方金融组织实施现场检查。</w:t>
      </w:r>
    </w:p>
    <w:p>
      <w:pPr>
        <w:ind w:firstLine="640"/>
        <w:rPr>
          <w:b w:val="0"/>
          <w:bCs/>
        </w:rPr>
      </w:pPr>
      <w:r>
        <w:rPr>
          <w:b w:val="0"/>
          <w:bCs/>
        </w:rPr>
        <w:t xml:space="preserve">第三条 </w:t>
      </w:r>
      <w:r>
        <w:rPr>
          <w:rFonts w:hint="eastAsia"/>
          <w:b w:val="0"/>
          <w:bCs/>
        </w:rPr>
        <w:t xml:space="preserve"> </w:t>
      </w:r>
      <w:r>
        <w:rPr>
          <w:b w:val="0"/>
          <w:bCs/>
        </w:rPr>
        <w:t>本办法所称现场检查，是指</w:t>
      </w:r>
      <w:r>
        <w:rPr>
          <w:rFonts w:hint="eastAsia"/>
          <w:b w:val="0"/>
          <w:bCs/>
        </w:rPr>
        <w:t>全市各级地方金融监督管理（工作）部门依法对地方金融组织经营管理情况进行监督检查的行政执法行为。</w:t>
      </w:r>
    </w:p>
    <w:p>
      <w:pPr>
        <w:ind w:firstLine="640"/>
        <w:rPr>
          <w:b w:val="0"/>
          <w:bCs/>
        </w:rPr>
      </w:pPr>
      <w:r>
        <w:rPr>
          <w:rFonts w:hint="eastAsia"/>
          <w:b w:val="0"/>
          <w:bCs/>
        </w:rPr>
        <w:t>现场检查分为检查计划、检查实施、检查报告、检查处理、检查档案整理五个阶段。</w:t>
      </w:r>
    </w:p>
    <w:p>
      <w:pPr>
        <w:ind w:firstLine="640"/>
        <w:rPr>
          <w:b w:val="0"/>
          <w:bCs/>
        </w:rPr>
      </w:pPr>
      <w:r>
        <w:rPr>
          <w:rFonts w:hint="eastAsia"/>
          <w:b w:val="0"/>
          <w:bCs/>
        </w:rPr>
        <w:t xml:space="preserve">第四条  </w:t>
      </w:r>
      <w:r>
        <w:rPr>
          <w:rFonts w:hint="eastAsia" w:cs="Times New Roman"/>
          <w:b w:val="0"/>
          <w:bCs/>
        </w:rPr>
        <w:t>现场检查通过发挥查错纠弊、校验核实、教育指导、警示威慑等作用，督促地方金融组织贯彻经济金融宏观政策及监管政策，落实企业经营风险主体责任，提高管理水平，合法稳健经营，更好地服务经济发展。</w:t>
      </w:r>
    </w:p>
    <w:p>
      <w:pPr>
        <w:ind w:firstLine="640"/>
        <w:rPr>
          <w:rFonts w:cs="Times New Roman"/>
          <w:b w:val="0"/>
          <w:bCs/>
        </w:rPr>
      </w:pPr>
      <w:r>
        <w:rPr>
          <w:rFonts w:hint="eastAsia" w:cs="Times New Roman"/>
          <w:b w:val="0"/>
          <w:bCs/>
        </w:rPr>
        <w:t>第五条  现场检查包括常规检查和临时检查两种方式。</w:t>
      </w:r>
    </w:p>
    <w:p>
      <w:pPr>
        <w:ind w:firstLine="640"/>
        <w:rPr>
          <w:rFonts w:cs="Times New Roman"/>
          <w:b w:val="0"/>
          <w:bCs/>
        </w:rPr>
      </w:pPr>
      <w:r>
        <w:rPr>
          <w:rFonts w:hint="eastAsia" w:cs="Times New Roman"/>
          <w:b w:val="0"/>
          <w:bCs/>
        </w:rPr>
        <w:t>（一）常规检查是纳入年度现场检查计划之中的检查。</w:t>
      </w:r>
    </w:p>
    <w:p>
      <w:pPr>
        <w:ind w:firstLine="640"/>
        <w:rPr>
          <w:rFonts w:cs="Times New Roman"/>
          <w:b w:val="0"/>
          <w:bCs/>
        </w:rPr>
      </w:pPr>
      <w:r>
        <w:rPr>
          <w:rFonts w:hint="eastAsia" w:cs="Times New Roman"/>
          <w:b w:val="0"/>
          <w:bCs/>
        </w:rPr>
        <w:t>（二）临时检查是在年度现场检查计划之外，根据重大工作部署或临时工作任务开展的检查。</w:t>
      </w:r>
    </w:p>
    <w:p>
      <w:pPr>
        <w:ind w:firstLine="640"/>
        <w:rPr>
          <w:rFonts w:cs="Times New Roman"/>
          <w:b w:val="0"/>
          <w:bCs/>
        </w:rPr>
      </w:pPr>
      <w:r>
        <w:rPr>
          <w:rFonts w:hint="eastAsia" w:cs="Times New Roman"/>
          <w:b w:val="0"/>
          <w:bCs/>
        </w:rPr>
        <w:t>第六条  地方金融监督管理（工作）部门开展现场检查应当依照法律、行政法规、规章和规范性文件确定的职责、权限和程序进行，严格落实行政执法公示制度、执法全过程记录制度、重大执法决定法制审核制度，确保执法信息公开透明，执法全过程留痕、执法决定合法有效。</w:t>
      </w:r>
    </w:p>
    <w:p>
      <w:pPr>
        <w:ind w:firstLine="640"/>
        <w:rPr>
          <w:rFonts w:cs="Times New Roman"/>
          <w:b w:val="0"/>
          <w:bCs/>
        </w:rPr>
      </w:pPr>
      <w:r>
        <w:rPr>
          <w:rFonts w:hint="eastAsia" w:cs="Times New Roman"/>
          <w:b w:val="0"/>
          <w:bCs/>
        </w:rPr>
        <w:t>实施现场检查时，检查人员不得少于二人，并应当出示合法证件和检查通知书，其中至少一人是行政执法人员。行政处罚、行政强制等法律法规明确规定必须是二名以上行政执法人员的，从其规定。检查人员少于二人或未出示合法证件和检查通知书的，地方金融组织有权拒绝检查。</w:t>
      </w:r>
    </w:p>
    <w:p>
      <w:pPr>
        <w:ind w:firstLine="640"/>
        <w:rPr>
          <w:b w:val="0"/>
          <w:bCs/>
        </w:rPr>
      </w:pPr>
      <w:r>
        <w:rPr>
          <w:b w:val="0"/>
          <w:bCs/>
        </w:rPr>
        <w:t>第</w:t>
      </w:r>
      <w:r>
        <w:rPr>
          <w:rFonts w:hint="eastAsia"/>
          <w:b w:val="0"/>
          <w:bCs/>
        </w:rPr>
        <w:t>七</w:t>
      </w:r>
      <w:r>
        <w:rPr>
          <w:b w:val="0"/>
          <w:bCs/>
        </w:rPr>
        <w:t>条</w:t>
      </w:r>
      <w:r>
        <w:rPr>
          <w:rFonts w:hint="eastAsia"/>
          <w:b w:val="0"/>
          <w:bCs/>
        </w:rPr>
        <w:t xml:space="preserve">  </w:t>
      </w:r>
      <w:r>
        <w:rPr>
          <w:b w:val="0"/>
          <w:bCs/>
        </w:rPr>
        <w:t>现场检查人员应当依法检查，文明执法，遵守保密和廉政纪律</w:t>
      </w:r>
      <w:r>
        <w:rPr>
          <w:rFonts w:hint="eastAsia"/>
          <w:b w:val="0"/>
          <w:bCs/>
        </w:rPr>
        <w:t>，严守被查机构的商业秘密，严格落实中央八项规定精神。</w:t>
      </w:r>
      <w:r>
        <w:rPr>
          <w:rFonts w:hint="eastAsia" w:cs="Times New Roman"/>
          <w:b w:val="0"/>
          <w:bCs/>
        </w:rPr>
        <w:t>存在影响或者可能影响依法公正履行职责情况的，现场检查人员应当按照相关规定予以回避。</w:t>
      </w:r>
      <w:r>
        <w:rPr>
          <w:rFonts w:cs="Times New Roman"/>
          <w:b w:val="0"/>
          <w:bCs/>
        </w:rPr>
        <w:t>地方金融监督管理</w:t>
      </w:r>
      <w:r>
        <w:rPr>
          <w:rFonts w:hint="eastAsia" w:cs="Times New Roman"/>
          <w:b w:val="0"/>
          <w:bCs/>
        </w:rPr>
        <w:t>（</w:t>
      </w:r>
      <w:r>
        <w:rPr>
          <w:rFonts w:cs="Times New Roman"/>
          <w:b w:val="0"/>
          <w:bCs/>
        </w:rPr>
        <w:t>工作</w:t>
      </w:r>
      <w:r>
        <w:rPr>
          <w:rFonts w:hint="eastAsia" w:cs="Times New Roman"/>
          <w:b w:val="0"/>
          <w:bCs/>
        </w:rPr>
        <w:t>）</w:t>
      </w:r>
      <w:r>
        <w:rPr>
          <w:rFonts w:cs="Times New Roman"/>
          <w:b w:val="0"/>
          <w:bCs/>
        </w:rPr>
        <w:t>部门</w:t>
      </w:r>
      <w:r>
        <w:rPr>
          <w:rFonts w:hint="eastAsia"/>
          <w:b w:val="0"/>
          <w:bCs/>
        </w:rPr>
        <w:t>向被查机构公布监督电话，</w:t>
      </w:r>
      <w:r>
        <w:rPr>
          <w:b w:val="0"/>
          <w:bCs/>
        </w:rPr>
        <w:t>对检查人员职</w:t>
      </w:r>
      <w:r>
        <w:rPr>
          <w:rFonts w:hint="eastAsia"/>
          <w:b w:val="0"/>
          <w:bCs/>
        </w:rPr>
        <w:t>责</w:t>
      </w:r>
      <w:r>
        <w:rPr>
          <w:b w:val="0"/>
          <w:bCs/>
        </w:rPr>
        <w:t>履</w:t>
      </w:r>
      <w:r>
        <w:rPr>
          <w:rFonts w:hint="eastAsia"/>
          <w:b w:val="0"/>
          <w:bCs/>
        </w:rPr>
        <w:t>行和遵纪守法情况进行</w:t>
      </w:r>
      <w:r>
        <w:rPr>
          <w:b w:val="0"/>
          <w:bCs/>
        </w:rPr>
        <w:t>监督</w:t>
      </w:r>
      <w:r>
        <w:rPr>
          <w:rFonts w:hint="eastAsia"/>
          <w:b w:val="0"/>
          <w:bCs/>
        </w:rPr>
        <w:t>。</w:t>
      </w:r>
    </w:p>
    <w:p>
      <w:pPr>
        <w:ind w:firstLine="640"/>
        <w:rPr>
          <w:b w:val="0"/>
          <w:bCs/>
        </w:rPr>
      </w:pPr>
      <w:r>
        <w:rPr>
          <w:rFonts w:hint="eastAsia"/>
          <w:b w:val="0"/>
          <w:bCs/>
        </w:rPr>
        <w:t>第八条  地方金融监督管理（工作）部门依法开展现场检查，被查机构及其工作人员应当予以配合，保证提供的有关文件资料及相关情况真实、准确、完整、及时。检查期间，被查机构应当为现场检查工作提供必要的办公条件和工作保障。被查机构及其工作人员未经地方金融监督管理（工作）部门同意，不得将检查情况和相关信息向外透露。</w:t>
      </w:r>
    </w:p>
    <w:p>
      <w:pPr>
        <w:ind w:firstLine="640"/>
        <w:rPr>
          <w:b w:val="0"/>
          <w:bCs/>
        </w:rPr>
      </w:pPr>
      <w:r>
        <w:rPr>
          <w:b w:val="0"/>
          <w:bCs/>
        </w:rPr>
        <w:t>第</w:t>
      </w:r>
      <w:r>
        <w:rPr>
          <w:rFonts w:hint="eastAsia"/>
          <w:b w:val="0"/>
          <w:bCs/>
        </w:rPr>
        <w:t>九</w:t>
      </w:r>
      <w:r>
        <w:rPr>
          <w:b w:val="0"/>
          <w:bCs/>
        </w:rPr>
        <w:t>条</w:t>
      </w:r>
      <w:r>
        <w:rPr>
          <w:rFonts w:hint="eastAsia"/>
          <w:b w:val="0"/>
          <w:bCs/>
        </w:rPr>
        <w:t xml:space="preserve">  </w:t>
      </w:r>
      <w:r>
        <w:rPr>
          <w:b w:val="0"/>
          <w:bCs/>
        </w:rPr>
        <w:t>地方金融监督管理（工作）部门应当加强现场检查专业人才培养，配备与检查任务相适应的检查力量，提升现场检查水平</w:t>
      </w:r>
      <w:r>
        <w:rPr>
          <w:rFonts w:hint="eastAsia"/>
          <w:b w:val="0"/>
          <w:bCs/>
        </w:rPr>
        <w:t>和检查成效</w:t>
      </w:r>
      <w:r>
        <w:rPr>
          <w:b w:val="0"/>
          <w:bCs/>
        </w:rPr>
        <w:t>。</w:t>
      </w:r>
    </w:p>
    <w:p>
      <w:pPr>
        <w:ind w:firstLine="640"/>
        <w:rPr>
          <w:b w:val="0"/>
          <w:bCs/>
        </w:rPr>
      </w:pPr>
      <w:r>
        <w:rPr>
          <w:rFonts w:hint="eastAsia"/>
          <w:b w:val="0"/>
          <w:bCs/>
        </w:rPr>
        <w:t>第十条  根据工作需要，地方金融监督管理（工作）部门可以选聘符合条件的第三方机构共同开展现场检查，或者采用符合法律、法规及规章规定的其他方式。</w:t>
      </w:r>
    </w:p>
    <w:p>
      <w:pPr>
        <w:ind w:firstLine="640"/>
        <w:rPr>
          <w:b w:val="0"/>
          <w:bCs/>
        </w:rPr>
      </w:pPr>
      <w:r>
        <w:rPr>
          <w:rFonts w:hint="eastAsia"/>
          <w:b w:val="0"/>
          <w:bCs/>
        </w:rPr>
        <w:t>第十一条  地方金融监督管理（工作）部门应当为现场检查人员提供必要的工作经费保障。各监管业务处室按照有关规定，编制现场检查项目经费预算，强化预算管理，合理合规使用检查费用。</w:t>
      </w:r>
    </w:p>
    <w:p>
      <w:pPr>
        <w:ind w:firstLine="0" w:firstLineChars="0"/>
        <w:outlineLvl w:val="1"/>
        <w:rPr>
          <w:rFonts w:eastAsia="黑体" w:cs="Times New Roman"/>
          <w:b w:val="0"/>
          <w:bCs/>
          <w:kern w:val="28"/>
          <w:szCs w:val="32"/>
        </w:rPr>
      </w:pPr>
    </w:p>
    <w:p>
      <w:pPr>
        <w:ind w:firstLine="0" w:firstLineChars="0"/>
        <w:jc w:val="center"/>
        <w:outlineLvl w:val="1"/>
        <w:rPr>
          <w:rFonts w:eastAsia="黑体" w:cs="Times New Roman"/>
          <w:b w:val="0"/>
          <w:bCs/>
          <w:kern w:val="28"/>
          <w:szCs w:val="32"/>
        </w:rPr>
      </w:pPr>
      <w:r>
        <w:rPr>
          <w:rFonts w:eastAsia="黑体" w:cs="Times New Roman"/>
          <w:b w:val="0"/>
          <w:bCs/>
          <w:kern w:val="28"/>
          <w:szCs w:val="32"/>
        </w:rPr>
        <w:t>第二章  职责分工</w:t>
      </w:r>
    </w:p>
    <w:p>
      <w:pPr>
        <w:ind w:firstLine="640"/>
        <w:rPr>
          <w:b w:val="0"/>
          <w:bCs/>
        </w:rPr>
      </w:pPr>
      <w:r>
        <w:rPr>
          <w:rFonts w:hint="eastAsia"/>
          <w:b w:val="0"/>
          <w:bCs/>
        </w:rPr>
        <w:t>第十二条  市</w:t>
      </w:r>
      <w:r>
        <w:rPr>
          <w:b w:val="0"/>
          <w:bCs/>
        </w:rPr>
        <w:t>地方金融</w:t>
      </w:r>
      <w:r>
        <w:rPr>
          <w:rFonts w:hint="eastAsia"/>
          <w:b w:val="0"/>
          <w:bCs/>
        </w:rPr>
        <w:t>监督管理</w:t>
      </w:r>
      <w:r>
        <w:rPr>
          <w:b w:val="0"/>
          <w:bCs/>
        </w:rPr>
        <w:t>局统筹全</w:t>
      </w:r>
      <w:r>
        <w:rPr>
          <w:rFonts w:hint="eastAsia"/>
          <w:b w:val="0"/>
          <w:bCs/>
        </w:rPr>
        <w:t>市</w:t>
      </w:r>
      <w:r>
        <w:rPr>
          <w:b w:val="0"/>
          <w:bCs/>
        </w:rPr>
        <w:t>地方金融组织的现场检查工作</w:t>
      </w:r>
      <w:r>
        <w:rPr>
          <w:rFonts w:hint="eastAsia"/>
          <w:b w:val="0"/>
          <w:bCs/>
        </w:rPr>
        <w:t>，</w:t>
      </w:r>
      <w:r>
        <w:rPr>
          <w:b w:val="0"/>
          <w:bCs/>
        </w:rPr>
        <w:t>指导对全</w:t>
      </w:r>
      <w:r>
        <w:rPr>
          <w:rFonts w:hint="eastAsia"/>
          <w:b w:val="0"/>
          <w:bCs/>
        </w:rPr>
        <w:t>市</w:t>
      </w:r>
      <w:r>
        <w:rPr>
          <w:b w:val="0"/>
          <w:bCs/>
        </w:rPr>
        <w:t>地方金融组织的现场检查</w:t>
      </w:r>
      <w:r>
        <w:rPr>
          <w:rFonts w:hint="eastAsia"/>
          <w:b w:val="0"/>
          <w:bCs/>
        </w:rPr>
        <w:t>。</w:t>
      </w:r>
    </w:p>
    <w:p>
      <w:pPr>
        <w:ind w:firstLine="0" w:firstLineChars="0"/>
        <w:rPr>
          <w:b w:val="0"/>
          <w:bCs/>
        </w:rPr>
      </w:pPr>
      <w:r>
        <w:rPr>
          <w:rFonts w:hint="eastAsia"/>
          <w:b w:val="0"/>
          <w:bCs/>
        </w:rPr>
        <w:t xml:space="preserve">    市</w:t>
      </w:r>
      <w:r>
        <w:rPr>
          <w:b w:val="0"/>
          <w:bCs/>
        </w:rPr>
        <w:t>地方金融</w:t>
      </w:r>
      <w:r>
        <w:rPr>
          <w:rFonts w:hint="eastAsia"/>
          <w:b w:val="0"/>
          <w:bCs/>
        </w:rPr>
        <w:t>监督管理</w:t>
      </w:r>
      <w:r>
        <w:rPr>
          <w:b w:val="0"/>
          <w:bCs/>
        </w:rPr>
        <w:t>局</w:t>
      </w:r>
      <w:r>
        <w:rPr>
          <w:rFonts w:hint="eastAsia"/>
          <w:b w:val="0"/>
          <w:bCs/>
        </w:rPr>
        <w:t>各</w:t>
      </w:r>
      <w:r>
        <w:rPr>
          <w:b w:val="0"/>
          <w:bCs/>
        </w:rPr>
        <w:t>监管业务处室</w:t>
      </w:r>
      <w:r>
        <w:rPr>
          <w:rFonts w:hint="eastAsia"/>
          <w:b w:val="0"/>
          <w:bCs/>
        </w:rPr>
        <w:t>负责做好各自领域</w:t>
      </w:r>
      <w:r>
        <w:rPr>
          <w:b w:val="0"/>
          <w:bCs/>
        </w:rPr>
        <w:t>现场检查任务的具体落实。</w:t>
      </w:r>
    </w:p>
    <w:p>
      <w:pPr>
        <w:ind w:firstLine="640"/>
        <w:rPr>
          <w:rFonts w:cs="Times New Roman"/>
          <w:b w:val="0"/>
          <w:bCs/>
        </w:rPr>
      </w:pPr>
      <w:r>
        <w:rPr>
          <w:rFonts w:hint="eastAsia" w:cs="Times New Roman"/>
          <w:b w:val="0"/>
          <w:bCs/>
        </w:rPr>
        <w:t>第十三条  各区县（市）地方金融监管（工作）部门负责对辖内地方金融组织开展现场检查</w:t>
      </w:r>
      <w:r>
        <w:rPr>
          <w:rFonts w:cs="Times New Roman"/>
          <w:b w:val="0"/>
          <w:bCs/>
        </w:rPr>
        <w:t>。</w:t>
      </w:r>
    </w:p>
    <w:p>
      <w:pPr>
        <w:ind w:firstLine="640"/>
        <w:rPr>
          <w:rFonts w:cs="Times New Roman"/>
          <w:b w:val="0"/>
          <w:bCs/>
        </w:rPr>
      </w:pPr>
      <w:r>
        <w:rPr>
          <w:rFonts w:hint="eastAsia" w:cs="Times New Roman"/>
          <w:b w:val="0"/>
          <w:bCs/>
        </w:rPr>
        <w:t>各区县（市）地方金融监管（工作）部门应在年度统一部署规定的时间内，按地方金融组织类别，向市地方金融监督管理局相关业务处室报送本年度现场检查开展情况报告。</w:t>
      </w:r>
    </w:p>
    <w:p>
      <w:pPr>
        <w:ind w:firstLine="640"/>
        <w:rPr>
          <w:rFonts w:cs="Times New Roman"/>
          <w:b w:val="0"/>
          <w:bCs/>
        </w:rPr>
      </w:pPr>
      <w:r>
        <w:rPr>
          <w:rFonts w:hint="eastAsia" w:cs="Times New Roman"/>
          <w:b w:val="0"/>
          <w:bCs/>
        </w:rPr>
        <w:t xml:space="preserve">第十四条  </w:t>
      </w:r>
      <w:r>
        <w:rPr>
          <w:rFonts w:hint="eastAsia"/>
          <w:b w:val="0"/>
          <w:bCs/>
        </w:rPr>
        <w:t>对市本级直接监管的地方金融组织，由市</w:t>
      </w:r>
      <w:r>
        <w:rPr>
          <w:b w:val="0"/>
          <w:bCs/>
        </w:rPr>
        <w:t>地方金融</w:t>
      </w:r>
      <w:r>
        <w:rPr>
          <w:rFonts w:hint="eastAsia"/>
          <w:b w:val="0"/>
          <w:bCs/>
        </w:rPr>
        <w:t>监督管理</w:t>
      </w:r>
      <w:r>
        <w:rPr>
          <w:b w:val="0"/>
          <w:bCs/>
        </w:rPr>
        <w:t>局</w:t>
      </w:r>
      <w:r>
        <w:rPr>
          <w:rFonts w:hint="eastAsia"/>
          <w:b w:val="0"/>
          <w:bCs/>
        </w:rPr>
        <w:t>直接开展现场检查。</w:t>
      </w:r>
    </w:p>
    <w:p>
      <w:pPr>
        <w:ind w:firstLine="640"/>
        <w:rPr>
          <w:rFonts w:cs="Times New Roman"/>
          <w:b w:val="0"/>
          <w:bCs/>
        </w:rPr>
      </w:pPr>
      <w:r>
        <w:rPr>
          <w:rFonts w:hint="eastAsia" w:cs="Times New Roman"/>
          <w:b w:val="0"/>
          <w:bCs/>
        </w:rPr>
        <w:t>根据工作需要，市地方</w:t>
      </w:r>
      <w:r>
        <w:rPr>
          <w:rFonts w:cs="Times New Roman"/>
          <w:b w:val="0"/>
          <w:bCs/>
        </w:rPr>
        <w:t>金融</w:t>
      </w:r>
      <w:r>
        <w:rPr>
          <w:rFonts w:hint="eastAsia" w:cs="Times New Roman"/>
          <w:b w:val="0"/>
          <w:bCs/>
        </w:rPr>
        <w:t>监督管理局</w:t>
      </w:r>
      <w:r>
        <w:rPr>
          <w:rFonts w:cs="Times New Roman"/>
          <w:b w:val="0"/>
          <w:bCs/>
        </w:rPr>
        <w:t>可以对辖内下级</w:t>
      </w:r>
      <w:r>
        <w:rPr>
          <w:rFonts w:hint="eastAsia" w:cs="Times New Roman"/>
          <w:b w:val="0"/>
          <w:bCs/>
        </w:rPr>
        <w:t>地方</w:t>
      </w:r>
      <w:r>
        <w:rPr>
          <w:rFonts w:cs="Times New Roman"/>
          <w:b w:val="0"/>
          <w:bCs/>
        </w:rPr>
        <w:t>金融工作部门的监管对象开展现场检查</w:t>
      </w:r>
      <w:r>
        <w:rPr>
          <w:rFonts w:hint="eastAsia" w:cs="Times New Roman"/>
          <w:b w:val="0"/>
          <w:bCs/>
        </w:rPr>
        <w:t>，也可以在临时检查中安排下级地方金融监管（工作）部门进行交叉检查。</w:t>
      </w:r>
    </w:p>
    <w:p>
      <w:pPr>
        <w:ind w:firstLine="640"/>
        <w:rPr>
          <w:b w:val="0"/>
          <w:bCs/>
        </w:rPr>
      </w:pPr>
      <w:r>
        <w:rPr>
          <w:rFonts w:hint="eastAsia" w:cs="Times New Roman"/>
          <w:b w:val="0"/>
          <w:bCs/>
        </w:rPr>
        <w:t>第十五条</w:t>
      </w:r>
      <w:r>
        <w:rPr>
          <w:rFonts w:hint="eastAsia"/>
          <w:b w:val="0"/>
          <w:bCs/>
        </w:rPr>
        <w:t xml:space="preserve">  </w:t>
      </w:r>
      <w:r>
        <w:rPr>
          <w:b w:val="0"/>
          <w:bCs/>
        </w:rPr>
        <w:t>地方金融监督管理（工作）部门应当加强与</w:t>
      </w:r>
      <w:r>
        <w:rPr>
          <w:rFonts w:hint="eastAsia"/>
          <w:b w:val="0"/>
          <w:bCs/>
        </w:rPr>
        <w:t>中央金融管理部门派出机构、政府相关部门</w:t>
      </w:r>
      <w:r>
        <w:rPr>
          <w:b w:val="0"/>
          <w:bCs/>
        </w:rPr>
        <w:t>的工作联动，沟通检查情况，依法共享信息，积极探索利用征信信息、工商登记信息、纳税信息等外部数据辅助现场检查工作</w:t>
      </w:r>
      <w:r>
        <w:rPr>
          <w:rFonts w:hint="eastAsia"/>
          <w:b w:val="0"/>
          <w:bCs/>
        </w:rPr>
        <w:t>。</w:t>
      </w:r>
    </w:p>
    <w:p>
      <w:pPr>
        <w:ind w:firstLine="0" w:firstLineChars="0"/>
        <w:rPr>
          <w:b w:val="0"/>
          <w:bCs/>
        </w:rPr>
      </w:pPr>
    </w:p>
    <w:p>
      <w:pPr>
        <w:numPr>
          <w:ilvl w:val="0"/>
          <w:numId w:val="3"/>
        </w:numPr>
        <w:ind w:firstLine="0" w:firstLineChars="0"/>
        <w:jc w:val="center"/>
        <w:outlineLvl w:val="1"/>
        <w:rPr>
          <w:rFonts w:eastAsia="黑体" w:cs="Times New Roman"/>
          <w:b w:val="0"/>
          <w:bCs/>
          <w:kern w:val="28"/>
          <w:szCs w:val="32"/>
        </w:rPr>
      </w:pPr>
      <w:r>
        <w:rPr>
          <w:rFonts w:eastAsia="黑体" w:cs="Times New Roman"/>
          <w:b w:val="0"/>
          <w:bCs/>
          <w:kern w:val="28"/>
          <w:szCs w:val="32"/>
        </w:rPr>
        <w:t xml:space="preserve"> 检查流程</w:t>
      </w:r>
    </w:p>
    <w:p>
      <w:pPr>
        <w:ind w:firstLine="2880" w:firstLineChars="900"/>
        <w:outlineLvl w:val="1"/>
        <w:rPr>
          <w:rFonts w:eastAsia="黑体" w:cs="Times New Roman"/>
          <w:b w:val="0"/>
          <w:bCs/>
          <w:kern w:val="28"/>
          <w:szCs w:val="32"/>
        </w:rPr>
      </w:pPr>
      <w:r>
        <w:rPr>
          <w:rFonts w:hint="eastAsia" w:eastAsia="黑体" w:cs="Times New Roman"/>
          <w:b w:val="0"/>
          <w:bCs/>
          <w:kern w:val="28"/>
          <w:szCs w:val="32"/>
        </w:rPr>
        <w:t>第一节  检查计划</w:t>
      </w:r>
    </w:p>
    <w:p>
      <w:pPr>
        <w:ind w:firstLine="640"/>
        <w:rPr>
          <w:b w:val="0"/>
          <w:bCs/>
        </w:rPr>
      </w:pPr>
      <w:r>
        <w:rPr>
          <w:b w:val="0"/>
          <w:bCs/>
        </w:rPr>
        <w:t>第</w:t>
      </w:r>
      <w:r>
        <w:rPr>
          <w:rFonts w:hint="eastAsia"/>
          <w:b w:val="0"/>
          <w:bCs/>
        </w:rPr>
        <w:t>十六</w:t>
      </w:r>
      <w:r>
        <w:rPr>
          <w:b w:val="0"/>
          <w:bCs/>
        </w:rPr>
        <w:t>条</w:t>
      </w:r>
      <w:r>
        <w:rPr>
          <w:rFonts w:hint="eastAsia"/>
          <w:b w:val="0"/>
          <w:bCs/>
        </w:rPr>
        <w:t xml:space="preserve">  市</w:t>
      </w:r>
      <w:r>
        <w:rPr>
          <w:b w:val="0"/>
          <w:bCs/>
        </w:rPr>
        <w:t>地方金融</w:t>
      </w:r>
      <w:r>
        <w:rPr>
          <w:rFonts w:hint="eastAsia"/>
          <w:b w:val="0"/>
          <w:bCs/>
        </w:rPr>
        <w:t>监督管理</w:t>
      </w:r>
      <w:r>
        <w:rPr>
          <w:b w:val="0"/>
          <w:bCs/>
        </w:rPr>
        <w:t>局监管业务处室于每年3月31日前，按地方金融组织类别，分别制定年度现场检查计划，报局</w:t>
      </w:r>
      <w:r>
        <w:rPr>
          <w:rFonts w:hint="eastAsia"/>
          <w:b w:val="0"/>
          <w:bCs/>
        </w:rPr>
        <w:t>集体研究同意</w:t>
      </w:r>
      <w:r>
        <w:rPr>
          <w:b w:val="0"/>
          <w:bCs/>
        </w:rPr>
        <w:t>后实施。</w:t>
      </w:r>
      <w:r>
        <w:rPr>
          <w:rFonts w:hint="eastAsia"/>
          <w:b w:val="0"/>
          <w:bCs/>
        </w:rPr>
        <w:t>年度现场检查计划的对象，主要</w:t>
      </w:r>
      <w:r>
        <w:rPr>
          <w:b w:val="0"/>
          <w:bCs/>
        </w:rPr>
        <w:t>根据地方金融组织</w:t>
      </w:r>
      <w:r>
        <w:rPr>
          <w:rFonts w:hint="eastAsia"/>
          <w:b w:val="0"/>
          <w:bCs/>
        </w:rPr>
        <w:t>上年度年检年审和监管评级情况，并</w:t>
      </w:r>
      <w:r>
        <w:rPr>
          <w:b w:val="0"/>
          <w:bCs/>
        </w:rPr>
        <w:t>结合“双随机、一公开”工作机制</w:t>
      </w:r>
      <w:r>
        <w:rPr>
          <w:rFonts w:hint="eastAsia"/>
          <w:b w:val="0"/>
          <w:bCs/>
        </w:rPr>
        <w:t>确定</w:t>
      </w:r>
      <w:r>
        <w:rPr>
          <w:b w:val="0"/>
          <w:bCs/>
        </w:rPr>
        <w:t>。</w:t>
      </w:r>
    </w:p>
    <w:p>
      <w:pPr>
        <w:ind w:firstLine="640"/>
        <w:rPr>
          <w:b w:val="0"/>
          <w:bCs/>
        </w:rPr>
      </w:pPr>
      <w:r>
        <w:rPr>
          <w:rFonts w:hint="eastAsia"/>
          <w:b w:val="0"/>
          <w:bCs/>
        </w:rPr>
        <w:t>对地方金融组织开展临时检查，需经单位主要负责人批准。</w:t>
      </w:r>
    </w:p>
    <w:p>
      <w:pPr>
        <w:ind w:firstLine="640"/>
        <w:rPr>
          <w:b w:val="0"/>
          <w:bCs/>
        </w:rPr>
      </w:pPr>
      <w:r>
        <w:rPr>
          <w:b w:val="0"/>
          <w:bCs/>
        </w:rPr>
        <w:t>第十</w:t>
      </w:r>
      <w:r>
        <w:rPr>
          <w:rFonts w:hint="eastAsia"/>
          <w:b w:val="0"/>
          <w:bCs/>
        </w:rPr>
        <w:t>七</w:t>
      </w:r>
      <w:r>
        <w:rPr>
          <w:b w:val="0"/>
          <w:bCs/>
        </w:rPr>
        <w:t>条</w:t>
      </w:r>
      <w:r>
        <w:rPr>
          <w:rFonts w:hint="eastAsia"/>
          <w:b w:val="0"/>
          <w:bCs/>
        </w:rPr>
        <w:t xml:space="preserve">  各区县（市）地方金融监管（工作）部门根据辖区地方金融组织风险隐患情况，制定本地区现场检查计划并负责实施</w:t>
      </w:r>
      <w:r>
        <w:rPr>
          <w:b w:val="0"/>
          <w:bCs/>
        </w:rPr>
        <w:t>。</w:t>
      </w:r>
    </w:p>
    <w:p>
      <w:pPr>
        <w:ind w:firstLine="640"/>
        <w:rPr>
          <w:b w:val="0"/>
          <w:bCs/>
        </w:rPr>
      </w:pPr>
      <w:r>
        <w:rPr>
          <w:rFonts w:hint="eastAsia"/>
          <w:b w:val="0"/>
          <w:bCs/>
        </w:rPr>
        <w:t xml:space="preserve">第十八条  </w:t>
      </w:r>
      <w:r>
        <w:rPr>
          <w:b w:val="0"/>
          <w:bCs/>
        </w:rPr>
        <w:t>地方金融监督管理（工作）部门开展现场检查前，应</w:t>
      </w:r>
      <w:r>
        <w:rPr>
          <w:rFonts w:hint="eastAsia"/>
          <w:b w:val="0"/>
          <w:bCs/>
        </w:rPr>
        <w:t>当</w:t>
      </w:r>
      <w:r>
        <w:rPr>
          <w:b w:val="0"/>
          <w:bCs/>
        </w:rPr>
        <w:t>制定现场检查方案，经</w:t>
      </w:r>
      <w:r>
        <w:rPr>
          <w:rFonts w:hint="eastAsia"/>
          <w:b w:val="0"/>
          <w:bCs/>
        </w:rPr>
        <w:t>单位分管负责人审核，由单位主要</w:t>
      </w:r>
      <w:r>
        <w:rPr>
          <w:b w:val="0"/>
          <w:bCs/>
        </w:rPr>
        <w:t>负责人审定。</w:t>
      </w:r>
    </w:p>
    <w:p>
      <w:pPr>
        <w:ind w:firstLine="0" w:firstLineChars="0"/>
        <w:jc w:val="center"/>
        <w:outlineLvl w:val="1"/>
        <w:rPr>
          <w:b w:val="0"/>
          <w:bCs/>
        </w:rPr>
      </w:pPr>
    </w:p>
    <w:p>
      <w:pPr>
        <w:ind w:firstLine="0" w:firstLineChars="0"/>
        <w:jc w:val="center"/>
        <w:outlineLvl w:val="1"/>
        <w:rPr>
          <w:rFonts w:eastAsia="黑体" w:cs="Times New Roman"/>
          <w:b w:val="0"/>
          <w:bCs/>
          <w:kern w:val="28"/>
          <w:szCs w:val="32"/>
        </w:rPr>
      </w:pPr>
      <w:r>
        <w:rPr>
          <w:rFonts w:hint="eastAsia" w:eastAsia="黑体" w:cs="Times New Roman"/>
          <w:b w:val="0"/>
          <w:bCs/>
          <w:kern w:val="28"/>
          <w:szCs w:val="32"/>
        </w:rPr>
        <w:t xml:space="preserve">第二节 </w:t>
      </w:r>
      <w:r>
        <w:rPr>
          <w:rFonts w:eastAsia="黑体" w:cs="Times New Roman"/>
          <w:b w:val="0"/>
          <w:bCs/>
          <w:kern w:val="28"/>
          <w:szCs w:val="32"/>
        </w:rPr>
        <w:t xml:space="preserve"> 检查</w:t>
      </w:r>
      <w:r>
        <w:rPr>
          <w:rFonts w:hint="eastAsia" w:eastAsia="黑体" w:cs="Times New Roman"/>
          <w:b w:val="0"/>
          <w:bCs/>
          <w:kern w:val="28"/>
          <w:szCs w:val="32"/>
        </w:rPr>
        <w:t>实施</w:t>
      </w:r>
      <w:r>
        <w:rPr>
          <w:rFonts w:hint="eastAsia" w:ascii="仿宋_GB2312" w:hAnsi="仿宋_GB2312" w:cs="仿宋_GB2312"/>
          <w:b w:val="0"/>
          <w:bCs/>
          <w:szCs w:val="32"/>
        </w:rPr>
        <w:t xml:space="preserve">  </w:t>
      </w:r>
    </w:p>
    <w:p>
      <w:pPr>
        <w:ind w:firstLine="640"/>
        <w:jc w:val="left"/>
        <w:rPr>
          <w:rFonts w:ascii="仿宋_GB2312" w:hAnsi="仿宋_GB2312" w:cs="仿宋_GB2312"/>
          <w:b w:val="0"/>
          <w:bCs/>
          <w:szCs w:val="32"/>
        </w:rPr>
      </w:pPr>
      <w:r>
        <w:rPr>
          <w:rFonts w:hint="eastAsia" w:ascii="仿宋_GB2312" w:hAnsi="仿宋_GB2312" w:cs="仿宋_GB2312"/>
          <w:b w:val="0"/>
          <w:bCs/>
          <w:szCs w:val="32"/>
        </w:rPr>
        <w:t xml:space="preserve">第十九条  </w:t>
      </w:r>
      <w:r>
        <w:rPr>
          <w:rFonts w:hint="eastAsia"/>
          <w:b w:val="0"/>
          <w:bCs/>
        </w:rPr>
        <w:t>地方金融监督管理（工作）部门开展现场检查前，应当做好以下准备：</w:t>
      </w:r>
      <w:r>
        <w:rPr>
          <w:rFonts w:ascii="仿宋_GB2312" w:hAnsi="仿宋_GB2312" w:cs="仿宋_GB2312"/>
          <w:b w:val="0"/>
          <w:bCs/>
          <w:szCs w:val="32"/>
        </w:rPr>
        <w:t xml:space="preserve"> </w:t>
      </w:r>
    </w:p>
    <w:p>
      <w:pPr>
        <w:ind w:firstLine="640"/>
        <w:jc w:val="left"/>
        <w:rPr>
          <w:rFonts w:ascii="仿宋_GB2312" w:hAnsi="仿宋_GB2312" w:cs="仿宋_GB2312"/>
          <w:b w:val="0"/>
          <w:bCs/>
          <w:szCs w:val="32"/>
        </w:rPr>
      </w:pPr>
      <w:r>
        <w:rPr>
          <w:rFonts w:hint="eastAsia" w:ascii="仿宋_GB2312" w:hAnsi="仿宋_GB2312" w:cs="仿宋_GB2312"/>
          <w:b w:val="0"/>
          <w:bCs/>
          <w:szCs w:val="32"/>
        </w:rPr>
        <w:t>（一）成立检查组</w:t>
      </w:r>
    </w:p>
    <w:p>
      <w:pPr>
        <w:ind w:firstLine="640"/>
        <w:jc w:val="left"/>
        <w:rPr>
          <w:rFonts w:ascii="仿宋_GB2312" w:hAnsi="仿宋_GB2312" w:cs="仿宋_GB2312"/>
          <w:b w:val="0"/>
          <w:bCs/>
          <w:szCs w:val="32"/>
        </w:rPr>
      </w:pPr>
      <w:r>
        <w:rPr>
          <w:rFonts w:hint="eastAsia" w:ascii="仿宋_GB2312" w:hAnsi="仿宋_GB2312" w:cs="仿宋_GB2312"/>
          <w:b w:val="0"/>
          <w:bCs/>
          <w:szCs w:val="32"/>
        </w:rPr>
        <w:t>地方金融监督管理（工作）部门应当根据检查任务，合理配备检查人员，组成检查组。检查组实行组长负责制。检查组组长在检查组成员中确定主查人，负责现场检查工作的具体组织和实施。</w:t>
      </w:r>
    </w:p>
    <w:p>
      <w:pPr>
        <w:ind w:firstLine="640"/>
        <w:jc w:val="left"/>
        <w:rPr>
          <w:rFonts w:ascii="仿宋_GB2312" w:hAnsi="仿宋_GB2312" w:cs="仿宋_GB2312"/>
          <w:b w:val="0"/>
          <w:bCs/>
          <w:szCs w:val="32"/>
        </w:rPr>
      </w:pPr>
      <w:r>
        <w:rPr>
          <w:b w:val="0"/>
          <w:bCs/>
        </w:rPr>
        <w:t>（</w:t>
      </w:r>
      <w:r>
        <w:rPr>
          <w:rFonts w:hint="eastAsia"/>
          <w:b w:val="0"/>
          <w:bCs/>
        </w:rPr>
        <w:t>二</w:t>
      </w:r>
      <w:r>
        <w:rPr>
          <w:b w:val="0"/>
          <w:bCs/>
        </w:rPr>
        <w:t>）</w:t>
      </w:r>
      <w:r>
        <w:rPr>
          <w:rFonts w:hint="eastAsia"/>
          <w:b w:val="0"/>
          <w:bCs/>
        </w:rPr>
        <w:t>开展查前调查</w:t>
      </w:r>
    </w:p>
    <w:p>
      <w:pPr>
        <w:ind w:firstLine="640"/>
        <w:jc w:val="left"/>
        <w:rPr>
          <w:rFonts w:ascii="仿宋_GB2312" w:hAnsi="仿宋_GB2312" w:cs="仿宋_GB2312"/>
          <w:b w:val="0"/>
          <w:bCs/>
          <w:szCs w:val="32"/>
        </w:rPr>
      </w:pPr>
      <w:r>
        <w:rPr>
          <w:b w:val="0"/>
          <w:bCs/>
        </w:rPr>
        <w:t>检查组</w:t>
      </w:r>
      <w:r>
        <w:rPr>
          <w:rFonts w:hint="eastAsia"/>
          <w:b w:val="0"/>
          <w:bCs/>
        </w:rPr>
        <w:t>应当</w:t>
      </w:r>
      <w:r>
        <w:rPr>
          <w:b w:val="0"/>
          <w:bCs/>
        </w:rPr>
        <w:t>开展查前调查，收集被查机构检查领域的有关信息，主要包括被查机构内外部审计报告，通过非现场监管掌握的被查机构业务开展情况、经营管理状况及其他相关情况等</w:t>
      </w:r>
      <w:r>
        <w:rPr>
          <w:rFonts w:hint="eastAsia"/>
          <w:b w:val="0"/>
          <w:bCs/>
        </w:rPr>
        <w:t>，进行检查分析</w:t>
      </w:r>
      <w:r>
        <w:rPr>
          <w:b w:val="0"/>
          <w:bCs/>
        </w:rPr>
        <w:t>，做好查前培训。</w:t>
      </w:r>
      <w:r>
        <w:rPr>
          <w:rFonts w:hint="eastAsia"/>
          <w:b w:val="0"/>
          <w:bCs/>
        </w:rPr>
        <w:t xml:space="preserve"> </w:t>
      </w:r>
    </w:p>
    <w:p>
      <w:pPr>
        <w:ind w:firstLine="640"/>
        <w:jc w:val="left"/>
        <w:rPr>
          <w:rFonts w:ascii="仿宋_GB2312" w:hAnsi="仿宋_GB2312" w:cs="仿宋_GB2312"/>
          <w:b w:val="0"/>
          <w:bCs/>
          <w:szCs w:val="32"/>
        </w:rPr>
      </w:pPr>
      <w:r>
        <w:rPr>
          <w:b w:val="0"/>
          <w:bCs/>
        </w:rPr>
        <w:t>（</w:t>
      </w:r>
      <w:r>
        <w:rPr>
          <w:rFonts w:hint="eastAsia"/>
          <w:b w:val="0"/>
          <w:bCs/>
        </w:rPr>
        <w:t>三</w:t>
      </w:r>
      <w:r>
        <w:rPr>
          <w:b w:val="0"/>
          <w:bCs/>
        </w:rPr>
        <w:t>）</w:t>
      </w:r>
      <w:r>
        <w:rPr>
          <w:rFonts w:hint="eastAsia"/>
          <w:b w:val="0"/>
          <w:bCs/>
        </w:rPr>
        <w:t>发出书面检查通知</w:t>
      </w:r>
    </w:p>
    <w:p>
      <w:pPr>
        <w:ind w:firstLine="640"/>
        <w:rPr>
          <w:b w:val="0"/>
          <w:bCs/>
        </w:rPr>
      </w:pPr>
      <w:r>
        <w:rPr>
          <w:b w:val="0"/>
          <w:bCs/>
        </w:rPr>
        <w:t>检查组应当</w:t>
      </w:r>
      <w:r>
        <w:rPr>
          <w:rFonts w:hint="eastAsia"/>
          <w:b w:val="0"/>
          <w:bCs/>
        </w:rPr>
        <w:t>向被查对象发出《现场检查通知书》（附件1），告知检查目的、时间、内容等，</w:t>
      </w:r>
      <w:r>
        <w:rPr>
          <w:b w:val="0"/>
          <w:bCs/>
        </w:rPr>
        <w:t>并向被查机构提出配合检查工作的要求</w:t>
      </w:r>
      <w:r>
        <w:rPr>
          <w:rFonts w:hint="eastAsia"/>
          <w:b w:val="0"/>
          <w:bCs/>
        </w:rPr>
        <w:t>。</w:t>
      </w:r>
    </w:p>
    <w:p>
      <w:pPr>
        <w:ind w:firstLine="640"/>
        <w:rPr>
          <w:b w:val="0"/>
          <w:bCs/>
        </w:rPr>
      </w:pPr>
      <w:r>
        <w:rPr>
          <w:rFonts w:hint="eastAsia"/>
          <w:b w:val="0"/>
          <w:bCs/>
        </w:rPr>
        <w:t>第二十条 检查组应当组织召开进点会谈，形成《现场检查进点会谈记录》（附件2）。进点会谈的主要内容包括：向检查对象宣读《现场检查通知书》；宣布现场检查工作纪律和有关规定，告知被查机构对检查人员履行监管职责和执行工作纪律、廉政纪律情况进行监督；介绍检查组成员；听取检查对象情况报告；就检查准备阶段掌握的重要情况或疑问向检查对象进行了解和质询；向检查对象提出配合检查工作的要求事项，并确定具体的联络人员。</w:t>
      </w:r>
    </w:p>
    <w:p>
      <w:pPr>
        <w:ind w:firstLine="640"/>
        <w:rPr>
          <w:b w:val="0"/>
          <w:bCs/>
        </w:rPr>
      </w:pPr>
      <w:r>
        <w:rPr>
          <w:b w:val="0"/>
          <w:bCs/>
        </w:rPr>
        <w:t>第</w:t>
      </w:r>
      <w:r>
        <w:rPr>
          <w:rFonts w:hint="eastAsia"/>
          <w:b w:val="0"/>
          <w:bCs/>
        </w:rPr>
        <w:t>二十一</w:t>
      </w:r>
      <w:r>
        <w:rPr>
          <w:b w:val="0"/>
          <w:bCs/>
        </w:rPr>
        <w:t>条</w:t>
      </w:r>
      <w:r>
        <w:rPr>
          <w:rFonts w:hint="eastAsia"/>
          <w:b w:val="0"/>
          <w:bCs/>
        </w:rPr>
        <w:t xml:space="preserve">  检查</w:t>
      </w:r>
      <w:r>
        <w:rPr>
          <w:b w:val="0"/>
          <w:bCs/>
        </w:rPr>
        <w:t>人员可以</w:t>
      </w:r>
      <w:r>
        <w:rPr>
          <w:rFonts w:hint="eastAsia"/>
          <w:b w:val="0"/>
          <w:bCs/>
        </w:rPr>
        <w:t>采取以下方式开展现场检查</w:t>
      </w:r>
      <w:r>
        <w:rPr>
          <w:b w:val="0"/>
          <w:bCs/>
        </w:rPr>
        <w:t>：</w:t>
      </w:r>
      <w:r>
        <w:rPr>
          <w:rFonts w:hint="eastAsia"/>
          <w:b w:val="0"/>
          <w:bCs/>
        </w:rPr>
        <w:t>询问有关工作人员；约谈其法定代表人、实际控制人、主要股东、董事（理事）、监事、高级管理人员或者经营管理人员；查阅、复制与检查事项有关的文件、资料；先行登记保存可能被转移、隐匿、毁损或者伪造的文件、资料、电子设备；检查有关业务数据管理系统；其他依法可以采取的措施。</w:t>
      </w:r>
    </w:p>
    <w:p>
      <w:pPr>
        <w:ind w:firstLine="640"/>
        <w:rPr>
          <w:b w:val="0"/>
          <w:bCs/>
        </w:rPr>
      </w:pPr>
      <w:r>
        <w:rPr>
          <w:rFonts w:hint="eastAsia"/>
          <w:b w:val="0"/>
          <w:bCs/>
        </w:rPr>
        <w:t>被查机构自行外聘审计机构进行审计的，检查人员可以约谈外聘审计机构人员，了解审计情况。</w:t>
      </w:r>
    </w:p>
    <w:p>
      <w:pPr>
        <w:ind w:firstLine="640"/>
        <w:rPr>
          <w:b w:val="0"/>
          <w:bCs/>
        </w:rPr>
      </w:pPr>
      <w:r>
        <w:rPr>
          <w:rFonts w:hint="eastAsia"/>
          <w:b w:val="0"/>
          <w:bCs/>
        </w:rPr>
        <w:t>询问或约谈相关人员，应当有二名以上检查人员参加，当场作好记录，由被询问、约谈人签字确认。查阅复制文件、资料应当由被查机构派员陪同进行，登记保存文件、资料、电子设备的，应当在被查机构至少一名负责人在场的情况下进行。</w:t>
      </w:r>
    </w:p>
    <w:p>
      <w:pPr>
        <w:ind w:firstLine="640"/>
        <w:rPr>
          <w:b w:val="0"/>
          <w:bCs/>
        </w:rPr>
      </w:pPr>
      <w:r>
        <w:rPr>
          <w:b w:val="0"/>
          <w:bCs/>
        </w:rPr>
        <w:t>第</w:t>
      </w:r>
      <w:r>
        <w:rPr>
          <w:rFonts w:hint="eastAsia"/>
          <w:b w:val="0"/>
          <w:bCs/>
        </w:rPr>
        <w:t>二十二</w:t>
      </w:r>
      <w:r>
        <w:rPr>
          <w:b w:val="0"/>
          <w:bCs/>
        </w:rPr>
        <w:t>条</w:t>
      </w:r>
      <w:r>
        <w:rPr>
          <w:rFonts w:hint="eastAsia"/>
          <w:b w:val="0"/>
          <w:bCs/>
        </w:rPr>
        <w:t xml:space="preserve">  检查人员应当按要求做好工作记录、检查取证、事实确认和问题定性。</w:t>
      </w:r>
    </w:p>
    <w:p>
      <w:pPr>
        <w:ind w:firstLine="640"/>
        <w:jc w:val="left"/>
        <w:rPr>
          <w:rFonts w:ascii="仿宋_GB2312" w:hAnsi="仿宋_GB2312" w:cs="仿宋_GB2312"/>
          <w:b w:val="0"/>
          <w:bCs/>
          <w:szCs w:val="32"/>
        </w:rPr>
      </w:pPr>
      <w:r>
        <w:rPr>
          <w:rFonts w:hint="eastAsia" w:ascii="仿宋_GB2312" w:hAnsi="仿宋_GB2312" w:cs="仿宋_GB2312"/>
          <w:b w:val="0"/>
          <w:bCs/>
          <w:szCs w:val="32"/>
        </w:rPr>
        <w:t>（一）制作</w:t>
      </w:r>
      <w:r>
        <w:rPr>
          <w:rFonts w:hint="eastAsia" w:ascii="仿宋_GB2312"/>
          <w:b w:val="0"/>
          <w:bCs/>
          <w:szCs w:val="32"/>
        </w:rPr>
        <w:t>现场检查工作底稿</w:t>
      </w:r>
    </w:p>
    <w:p>
      <w:pPr>
        <w:ind w:firstLine="640"/>
        <w:jc w:val="left"/>
        <w:rPr>
          <w:rFonts w:ascii="仿宋_GB2312" w:hAnsi="仿宋_GB2312" w:cs="仿宋_GB2312"/>
          <w:b w:val="0"/>
          <w:bCs/>
          <w:szCs w:val="32"/>
        </w:rPr>
      </w:pPr>
      <w:r>
        <w:rPr>
          <w:rFonts w:hint="eastAsia" w:ascii="仿宋_GB2312" w:hAnsi="仿宋_GB2312" w:cs="仿宋_GB2312"/>
          <w:b w:val="0"/>
          <w:bCs/>
          <w:szCs w:val="32"/>
        </w:rPr>
        <w:t>检查人员应当对检查工作内容进行记录，制作《</w:t>
      </w:r>
      <w:r>
        <w:rPr>
          <w:rFonts w:hint="eastAsia" w:ascii="仿宋_GB2312"/>
          <w:b w:val="0"/>
          <w:bCs/>
          <w:szCs w:val="32"/>
        </w:rPr>
        <w:t>现场检查工作底稿</w:t>
      </w:r>
      <w:r>
        <w:rPr>
          <w:rFonts w:hint="eastAsia" w:ascii="仿宋_GB2312" w:hAnsi="仿宋_GB2312" w:cs="仿宋_GB2312"/>
          <w:b w:val="0"/>
          <w:bCs/>
          <w:szCs w:val="32"/>
        </w:rPr>
        <w:t>》（附件3），按照“一事一稿”原则进行编号，如实记录工作开展过程。工作底稿主要包括检查基本情况、发现的问题或事实记录、评价与意见等内容。</w:t>
      </w:r>
    </w:p>
    <w:p>
      <w:pPr>
        <w:ind w:firstLine="640"/>
        <w:jc w:val="left"/>
        <w:rPr>
          <w:rFonts w:ascii="仿宋_GB2312" w:hAnsi="仿宋_GB2312" w:cs="仿宋_GB2312"/>
          <w:b w:val="0"/>
          <w:bCs/>
          <w:szCs w:val="32"/>
        </w:rPr>
      </w:pPr>
      <w:r>
        <w:rPr>
          <w:rFonts w:hint="eastAsia" w:ascii="仿宋_GB2312" w:hAnsi="仿宋_GB2312" w:cs="仿宋_GB2312"/>
          <w:b w:val="0"/>
          <w:bCs/>
          <w:szCs w:val="32"/>
        </w:rPr>
        <w:t>（二）制作现场检查书面记录</w:t>
      </w:r>
    </w:p>
    <w:p>
      <w:pPr>
        <w:ind w:firstLine="640"/>
        <w:jc w:val="left"/>
        <w:rPr>
          <w:rFonts w:ascii="仿宋_GB2312" w:hAnsi="仿宋_GB2312" w:cs="仿宋_GB2312"/>
          <w:b w:val="0"/>
          <w:bCs/>
          <w:szCs w:val="32"/>
        </w:rPr>
      </w:pPr>
      <w:r>
        <w:rPr>
          <w:rFonts w:hint="eastAsia" w:ascii="仿宋_GB2312" w:hAnsi="仿宋_GB2312" w:cs="仿宋_GB2312"/>
          <w:b w:val="0"/>
          <w:bCs/>
          <w:szCs w:val="32"/>
        </w:rPr>
        <w:t>检查人员应当制作现场检查的书面记录，书面记录包括但不限于：约谈问询笔录（附件4）、文件、资料、电子设备复印（保管/复制）登记单，数据管理系统检查情况确认单等。</w:t>
      </w:r>
    </w:p>
    <w:p>
      <w:pPr>
        <w:ind w:firstLine="640"/>
        <w:jc w:val="left"/>
        <w:rPr>
          <w:rFonts w:ascii="仿宋_GB2312" w:hAnsi="仿宋_GB2312" w:cs="仿宋_GB2312"/>
          <w:b w:val="0"/>
          <w:bCs/>
          <w:szCs w:val="32"/>
        </w:rPr>
      </w:pPr>
      <w:r>
        <w:rPr>
          <w:rFonts w:hint="eastAsia" w:ascii="仿宋_GB2312" w:hAnsi="仿宋_GB2312" w:cs="仿宋_GB2312"/>
          <w:b w:val="0"/>
          <w:bCs/>
          <w:szCs w:val="32"/>
        </w:rPr>
        <w:t>现场检查的书面记录，经被查机构负责人核实后，由调查人员和被查机构负责人共同签字。被查机构负责人拒绝签名的，调查人员应当在书面记录上注明情况并签字。</w:t>
      </w:r>
    </w:p>
    <w:p>
      <w:pPr>
        <w:ind w:firstLine="640"/>
        <w:jc w:val="left"/>
        <w:rPr>
          <w:rFonts w:ascii="仿宋_GB2312" w:hAnsi="仿宋_GB2312" w:cs="仿宋_GB2312"/>
          <w:b w:val="0"/>
          <w:bCs/>
          <w:szCs w:val="32"/>
        </w:rPr>
      </w:pPr>
      <w:r>
        <w:rPr>
          <w:rFonts w:hint="eastAsia" w:ascii="仿宋_GB2312" w:hAnsi="仿宋_GB2312" w:cs="仿宋_GB2312"/>
          <w:b w:val="0"/>
          <w:bCs/>
          <w:szCs w:val="32"/>
        </w:rPr>
        <w:t>（三）制作现场检查事实确认书</w:t>
      </w:r>
    </w:p>
    <w:p>
      <w:pPr>
        <w:ind w:firstLine="640"/>
        <w:jc w:val="left"/>
        <w:rPr>
          <w:rFonts w:ascii="仿宋_GB2312" w:hAnsi="仿宋_GB2312" w:cs="仿宋_GB2312"/>
          <w:b w:val="0"/>
          <w:bCs/>
          <w:szCs w:val="32"/>
        </w:rPr>
      </w:pPr>
      <w:r>
        <w:rPr>
          <w:rFonts w:hint="eastAsia" w:ascii="仿宋_GB2312" w:hAnsi="仿宋_GB2312" w:cs="仿宋_GB2312"/>
          <w:b w:val="0"/>
          <w:bCs/>
          <w:szCs w:val="32"/>
        </w:rPr>
        <w:t>检查过程中查明的事实，对检查结果有重要影响或检查组人为确有必要的，应当制作《现场检查事实确认书》（附件5）。事实确认书按照“一事一份”原则进行编号，由检查人、检查组组长确认签字后发出。</w:t>
      </w:r>
    </w:p>
    <w:p>
      <w:pPr>
        <w:ind w:firstLine="640"/>
        <w:jc w:val="left"/>
        <w:rPr>
          <w:rFonts w:ascii="仿宋_GB2312" w:hAnsi="仿宋_GB2312" w:cs="仿宋_GB2312"/>
          <w:b w:val="0"/>
          <w:bCs/>
          <w:szCs w:val="32"/>
        </w:rPr>
      </w:pPr>
      <w:r>
        <w:rPr>
          <w:rFonts w:hint="eastAsia" w:ascii="仿宋_GB2312" w:hAnsi="仿宋_GB2312" w:cs="仿宋_GB2312"/>
          <w:b w:val="0"/>
          <w:bCs/>
          <w:szCs w:val="32"/>
        </w:rPr>
        <w:t>（四</w:t>
      </w:r>
      <w:r>
        <w:rPr>
          <w:rFonts w:ascii="仿宋_GB2312" w:hAnsi="仿宋_GB2312" w:cs="仿宋_GB2312"/>
          <w:b w:val="0"/>
          <w:bCs/>
          <w:szCs w:val="32"/>
        </w:rPr>
        <w:t>）</w:t>
      </w:r>
      <w:r>
        <w:rPr>
          <w:rFonts w:hint="eastAsia" w:ascii="仿宋_GB2312" w:hAnsi="仿宋_GB2312" w:cs="仿宋_GB2312"/>
          <w:b w:val="0"/>
          <w:bCs/>
          <w:szCs w:val="32"/>
        </w:rPr>
        <w:t>形成检查事实与评价</w:t>
      </w:r>
    </w:p>
    <w:p>
      <w:pPr>
        <w:ind w:firstLine="640"/>
        <w:rPr>
          <w:rFonts w:ascii="仿宋_GB2312" w:hAnsi="仿宋_GB2312" w:cs="仿宋_GB2312"/>
          <w:b w:val="0"/>
          <w:bCs/>
          <w:szCs w:val="32"/>
        </w:rPr>
      </w:pPr>
      <w:r>
        <w:rPr>
          <w:rFonts w:hint="eastAsia" w:ascii="仿宋_GB2312" w:hAnsi="仿宋_GB2312" w:cs="仿宋_GB2312"/>
          <w:b w:val="0"/>
          <w:bCs/>
          <w:szCs w:val="32"/>
        </w:rPr>
        <w:t>根据检查结果，检查组形成《检查事实与评价》（附件6），内容主要包括被查机构的基本情况、总体评价和检查发现的主要问题。</w:t>
      </w:r>
    </w:p>
    <w:p>
      <w:pPr>
        <w:ind w:firstLine="640"/>
        <w:rPr>
          <w:rFonts w:ascii="仿宋_GB2312" w:hAnsi="仿宋_GB2312" w:cs="仿宋_GB2312"/>
          <w:b w:val="0"/>
          <w:bCs/>
          <w:szCs w:val="32"/>
        </w:rPr>
      </w:pPr>
      <w:r>
        <w:rPr>
          <w:rFonts w:ascii="仿宋_GB2312" w:hAnsi="仿宋_GB2312" w:cs="仿宋_GB2312"/>
          <w:b w:val="0"/>
          <w:bCs/>
          <w:szCs w:val="32"/>
        </w:rPr>
        <w:t>第</w:t>
      </w:r>
      <w:r>
        <w:rPr>
          <w:rFonts w:hint="eastAsia" w:ascii="仿宋_GB2312" w:hAnsi="仿宋_GB2312" w:cs="仿宋_GB2312"/>
          <w:b w:val="0"/>
          <w:bCs/>
          <w:szCs w:val="32"/>
        </w:rPr>
        <w:t>二十三</w:t>
      </w:r>
      <w:r>
        <w:rPr>
          <w:rFonts w:ascii="仿宋_GB2312" w:hAnsi="仿宋_GB2312" w:cs="仿宋_GB2312"/>
          <w:b w:val="0"/>
          <w:bCs/>
          <w:szCs w:val="32"/>
        </w:rPr>
        <w:t>条</w:t>
      </w:r>
      <w:r>
        <w:rPr>
          <w:rFonts w:hint="eastAsia" w:ascii="仿宋_GB2312" w:hAnsi="仿宋_GB2312" w:cs="仿宋_GB2312"/>
          <w:b w:val="0"/>
          <w:bCs/>
          <w:szCs w:val="32"/>
        </w:rPr>
        <w:t xml:space="preserve">  检查组通过事实确认书、检查事实与评价等方式，就检查过程中发现的问题与被查机构充分交换意见，被查机构应当及时认真反馈意见。</w:t>
      </w:r>
    </w:p>
    <w:p>
      <w:pPr>
        <w:ind w:firstLine="0" w:firstLineChars="0"/>
        <w:rPr>
          <w:b w:val="0"/>
          <w:bCs/>
        </w:rPr>
      </w:pPr>
    </w:p>
    <w:p>
      <w:pPr>
        <w:ind w:firstLine="0" w:firstLineChars="0"/>
        <w:jc w:val="center"/>
        <w:rPr>
          <w:rFonts w:eastAsia="黑体" w:cs="Times New Roman"/>
          <w:b w:val="0"/>
          <w:bCs/>
          <w:kern w:val="28"/>
          <w:szCs w:val="32"/>
        </w:rPr>
      </w:pPr>
      <w:r>
        <w:rPr>
          <w:rFonts w:hint="eastAsia" w:eastAsia="黑体" w:cs="Times New Roman"/>
          <w:b w:val="0"/>
          <w:bCs/>
          <w:kern w:val="28"/>
          <w:szCs w:val="32"/>
        </w:rPr>
        <w:t>第三节 检查报告</w:t>
      </w:r>
    </w:p>
    <w:p>
      <w:pPr>
        <w:ind w:firstLine="640"/>
        <w:rPr>
          <w:b w:val="0"/>
          <w:bCs/>
        </w:rPr>
      </w:pPr>
      <w:r>
        <w:rPr>
          <w:b w:val="0"/>
          <w:bCs/>
        </w:rPr>
        <w:t>第</w:t>
      </w:r>
      <w:r>
        <w:rPr>
          <w:rFonts w:hint="eastAsia"/>
          <w:b w:val="0"/>
          <w:bCs/>
        </w:rPr>
        <w:t>二十四</w:t>
      </w:r>
      <w:r>
        <w:rPr>
          <w:b w:val="0"/>
          <w:bCs/>
        </w:rPr>
        <w:t>条</w:t>
      </w:r>
      <w:r>
        <w:rPr>
          <w:rFonts w:hint="eastAsia"/>
          <w:b w:val="0"/>
          <w:bCs/>
        </w:rPr>
        <w:t xml:space="preserve">  </w:t>
      </w:r>
      <w:r>
        <w:rPr>
          <w:b w:val="0"/>
          <w:bCs/>
        </w:rPr>
        <w:t>检查结束后，检查组应当制作现场检查工作报告</w:t>
      </w:r>
      <w:r>
        <w:rPr>
          <w:rFonts w:hint="eastAsia"/>
          <w:b w:val="0"/>
          <w:bCs/>
        </w:rPr>
        <w:t>（附件7）并向被查机构出具现场检查意见书（附件8）。</w:t>
      </w:r>
    </w:p>
    <w:p>
      <w:pPr>
        <w:ind w:firstLine="640"/>
        <w:rPr>
          <w:b w:val="0"/>
          <w:bCs/>
        </w:rPr>
      </w:pPr>
      <w:r>
        <w:rPr>
          <w:rFonts w:hint="eastAsia"/>
          <w:b w:val="0"/>
          <w:bCs/>
        </w:rPr>
        <w:t>现场检查工作</w:t>
      </w:r>
      <w:r>
        <w:rPr>
          <w:b w:val="0"/>
          <w:bCs/>
        </w:rPr>
        <w:t>报告</w:t>
      </w:r>
      <w:r>
        <w:rPr>
          <w:rFonts w:hint="eastAsia"/>
          <w:b w:val="0"/>
          <w:bCs/>
        </w:rPr>
        <w:t>应当</w:t>
      </w:r>
      <w:r>
        <w:rPr>
          <w:b w:val="0"/>
          <w:bCs/>
        </w:rPr>
        <w:t>事实清楚、定性准确、责任明晰、依据充分。</w:t>
      </w:r>
      <w:r>
        <w:rPr>
          <w:rFonts w:hint="eastAsia"/>
          <w:b w:val="0"/>
          <w:bCs/>
        </w:rPr>
        <w:t>主要内容包括：检查实施情况、被查机构基本情况和总体评价、检查发现的主要问题及原因、监管意见和措施、政策建议。</w:t>
      </w:r>
    </w:p>
    <w:p>
      <w:pPr>
        <w:ind w:firstLine="0" w:firstLineChars="0"/>
        <w:jc w:val="left"/>
        <w:outlineLvl w:val="1"/>
        <w:rPr>
          <w:b w:val="0"/>
          <w:bCs/>
        </w:rPr>
      </w:pPr>
      <w:r>
        <w:rPr>
          <w:rFonts w:hint="eastAsia" w:cs="Times New Roman" w:eastAsiaTheme="minorEastAsia"/>
          <w:b w:val="0"/>
          <w:bCs/>
          <w:spacing w:val="6"/>
          <w:kern w:val="0"/>
          <w:szCs w:val="32"/>
        </w:rPr>
        <w:t xml:space="preserve">    </w:t>
      </w:r>
    </w:p>
    <w:p>
      <w:pPr>
        <w:ind w:firstLine="0" w:firstLineChars="0"/>
        <w:jc w:val="center"/>
        <w:outlineLvl w:val="1"/>
        <w:rPr>
          <w:rFonts w:eastAsia="黑体" w:cs="Times New Roman"/>
          <w:b w:val="0"/>
          <w:bCs/>
          <w:kern w:val="28"/>
          <w:szCs w:val="32"/>
        </w:rPr>
      </w:pPr>
      <w:r>
        <w:rPr>
          <w:rFonts w:eastAsia="黑体" w:cs="Times New Roman"/>
          <w:b w:val="0"/>
          <w:bCs/>
          <w:kern w:val="28"/>
          <w:szCs w:val="32"/>
        </w:rPr>
        <w:t>第</w:t>
      </w:r>
      <w:r>
        <w:rPr>
          <w:rFonts w:hint="eastAsia" w:eastAsia="黑体" w:cs="Times New Roman"/>
          <w:b w:val="0"/>
          <w:bCs/>
          <w:kern w:val="28"/>
          <w:szCs w:val="32"/>
        </w:rPr>
        <w:t>四节</w:t>
      </w:r>
      <w:r>
        <w:rPr>
          <w:rFonts w:eastAsia="黑体" w:cs="Times New Roman"/>
          <w:b w:val="0"/>
          <w:bCs/>
          <w:kern w:val="28"/>
          <w:szCs w:val="32"/>
        </w:rPr>
        <w:t xml:space="preserve"> </w:t>
      </w:r>
      <w:r>
        <w:rPr>
          <w:rFonts w:hint="eastAsia" w:eastAsia="黑体" w:cs="Times New Roman"/>
          <w:b w:val="0"/>
          <w:bCs/>
          <w:kern w:val="28"/>
          <w:szCs w:val="32"/>
        </w:rPr>
        <w:t xml:space="preserve"> </w:t>
      </w:r>
      <w:r>
        <w:rPr>
          <w:rFonts w:eastAsia="黑体" w:cs="Times New Roman"/>
          <w:b w:val="0"/>
          <w:bCs/>
          <w:kern w:val="28"/>
          <w:szCs w:val="32"/>
        </w:rPr>
        <w:t>检查处理</w:t>
      </w:r>
    </w:p>
    <w:p>
      <w:pPr>
        <w:ind w:firstLine="640"/>
        <w:rPr>
          <w:b w:val="0"/>
          <w:bCs/>
        </w:rPr>
      </w:pPr>
      <w:r>
        <w:rPr>
          <w:rFonts w:hint="eastAsia"/>
          <w:b w:val="0"/>
          <w:bCs/>
        </w:rPr>
        <w:t>第二十五条  现场检查完成后，地方金融监管（工作）部门可以根据检查结果，采取以下方式分类处置：</w:t>
      </w:r>
    </w:p>
    <w:p>
      <w:pPr>
        <w:ind w:firstLine="640"/>
        <w:rPr>
          <w:b w:val="0"/>
          <w:bCs/>
        </w:rPr>
      </w:pPr>
      <w:r>
        <w:rPr>
          <w:rFonts w:hint="eastAsia"/>
          <w:b w:val="0"/>
          <w:bCs/>
        </w:rPr>
        <w:t>（一）监管约谈。经单位负责人同意，检查组可以与被查机构的主要股东、董事（理事）、监事、高级管理人员进行监管谈话，要求其就检查发现的问题作出说明，也可以对相关责任人进行谈话提醒、批评教育或者责令书面检查等。　　</w:t>
      </w:r>
    </w:p>
    <w:p>
      <w:pPr>
        <w:ind w:firstLine="640"/>
        <w:rPr>
          <w:b w:val="0"/>
          <w:bCs/>
        </w:rPr>
      </w:pPr>
      <w:r>
        <w:rPr>
          <w:rFonts w:hint="eastAsia"/>
          <w:b w:val="0"/>
          <w:bCs/>
        </w:rPr>
        <w:t>（二）责令整改等监管措施。对于</w:t>
      </w:r>
      <w:r>
        <w:rPr>
          <w:b w:val="0"/>
          <w:bCs/>
        </w:rPr>
        <w:t>检查中发现的轻微违法违规问题，</w:t>
      </w:r>
      <w:r>
        <w:rPr>
          <w:rFonts w:hint="eastAsia"/>
          <w:b w:val="0"/>
          <w:bCs/>
        </w:rPr>
        <w:t>经单位</w:t>
      </w:r>
      <w:r>
        <w:rPr>
          <w:b w:val="0"/>
          <w:bCs/>
        </w:rPr>
        <w:t>负责人同意后，地方金融监督管理（工作）部门</w:t>
      </w:r>
      <w:r>
        <w:rPr>
          <w:rFonts w:hint="eastAsia"/>
          <w:b w:val="0"/>
          <w:bCs/>
        </w:rPr>
        <w:t>应当</w:t>
      </w:r>
      <w:r>
        <w:rPr>
          <w:b w:val="0"/>
          <w:bCs/>
        </w:rPr>
        <w:t>向被查机构出具</w:t>
      </w:r>
      <w:r>
        <w:rPr>
          <w:rFonts w:hint="eastAsia"/>
          <w:b w:val="0"/>
          <w:bCs/>
        </w:rPr>
        <w:t>责令改正书并</w:t>
      </w:r>
      <w:r>
        <w:rPr>
          <w:b w:val="0"/>
          <w:bCs/>
        </w:rPr>
        <w:t>责</w:t>
      </w:r>
      <w:r>
        <w:rPr>
          <w:rFonts w:hint="eastAsia"/>
          <w:b w:val="0"/>
          <w:bCs/>
        </w:rPr>
        <w:t>令</w:t>
      </w:r>
      <w:r>
        <w:rPr>
          <w:b w:val="0"/>
          <w:bCs/>
        </w:rPr>
        <w:t>限期改正</w:t>
      </w:r>
      <w:r>
        <w:rPr>
          <w:rFonts w:hint="eastAsia"/>
          <w:b w:val="0"/>
          <w:bCs/>
        </w:rPr>
        <w:t>。对于检查中发现的重大违法违规问题，除采取前述措施外，经单位集体研究同意，可以对地方金融组织采取年度考核评级一票否决、年检年审不通过等措施，并视情况依法对其新增业务、红利分配、资产转让等经营行为加以限制。重大违法违规的标准根据省地方金融监管局有关规定执行。</w:t>
      </w:r>
    </w:p>
    <w:p>
      <w:pPr>
        <w:ind w:firstLine="640"/>
        <w:rPr>
          <w:b w:val="0"/>
          <w:bCs/>
        </w:rPr>
      </w:pPr>
      <w:r>
        <w:rPr>
          <w:rFonts w:hint="eastAsia"/>
          <w:b w:val="0"/>
          <w:bCs/>
        </w:rPr>
        <w:t>（三）行政处罚。</w:t>
      </w:r>
      <w:r>
        <w:rPr>
          <w:b w:val="0"/>
          <w:bCs/>
        </w:rPr>
        <w:t>检查中发现涉及行政处罚的违法违规行为，</w:t>
      </w:r>
      <w:r>
        <w:rPr>
          <w:rFonts w:hint="eastAsia"/>
          <w:b w:val="0"/>
          <w:bCs/>
        </w:rPr>
        <w:t>地方金融监督管理（工作）部门应当及</w:t>
      </w:r>
      <w:r>
        <w:rPr>
          <w:b w:val="0"/>
          <w:bCs/>
        </w:rPr>
        <w:t>时</w:t>
      </w:r>
      <w:r>
        <w:rPr>
          <w:rFonts w:hint="eastAsia"/>
          <w:b w:val="0"/>
          <w:bCs/>
        </w:rPr>
        <w:t>启动</w:t>
      </w:r>
      <w:r>
        <w:rPr>
          <w:b w:val="0"/>
          <w:bCs/>
        </w:rPr>
        <w:t>行政处罚立案调查</w:t>
      </w:r>
      <w:r>
        <w:rPr>
          <w:rFonts w:hint="eastAsia"/>
          <w:b w:val="0"/>
          <w:bCs/>
        </w:rPr>
        <w:t>程序，按照国家有关地方金融组织监管相关规定及《浙江省地方金融条例》</w:t>
      </w:r>
      <w:r>
        <w:rPr>
          <w:b w:val="0"/>
          <w:bCs/>
        </w:rPr>
        <w:t>《行政处罚法》</w:t>
      </w:r>
      <w:r>
        <w:rPr>
          <w:rFonts w:hint="eastAsia"/>
          <w:b w:val="0"/>
          <w:bCs/>
        </w:rPr>
        <w:t>有关规定办理。</w:t>
      </w:r>
    </w:p>
    <w:p>
      <w:pPr>
        <w:ind w:firstLine="640"/>
        <w:rPr>
          <w:b w:val="0"/>
          <w:bCs/>
        </w:rPr>
      </w:pPr>
      <w:r>
        <w:rPr>
          <w:rFonts w:hint="eastAsia"/>
          <w:b w:val="0"/>
          <w:bCs/>
        </w:rPr>
        <w:t>地方金融监督管理（工作）部门作出的行政处罚需经单位主要负责人批准；给予较重行政处罚的，应当由单位负责人集体讨论决定。</w:t>
      </w:r>
    </w:p>
    <w:p>
      <w:pPr>
        <w:ind w:firstLine="640"/>
        <w:rPr>
          <w:b w:val="0"/>
          <w:bCs/>
        </w:rPr>
      </w:pPr>
      <w:r>
        <w:rPr>
          <w:rFonts w:hint="eastAsia"/>
          <w:b w:val="0"/>
          <w:bCs/>
        </w:rPr>
        <w:t>较重行政处罚主要包括：罚款金额在10万元以上；没收违法所得、没收非法财物，且金额估算在10万元以上；责令停产停业；暂扣或者吊销许可证；其他需要由单位负责人集体讨论决定的处罚事项。</w:t>
      </w:r>
    </w:p>
    <w:p>
      <w:pPr>
        <w:ind w:firstLine="640"/>
        <w:rPr>
          <w:b w:val="0"/>
          <w:bCs/>
        </w:rPr>
      </w:pPr>
      <w:r>
        <w:rPr>
          <w:rFonts w:hint="eastAsia"/>
          <w:b w:val="0"/>
          <w:bCs/>
        </w:rPr>
        <w:t>（四）司法移送。</w:t>
      </w:r>
      <w:r>
        <w:rPr>
          <w:b w:val="0"/>
          <w:bCs/>
        </w:rPr>
        <w:t>地方金融监督管理（工作）部门在现场检查中发现</w:t>
      </w:r>
      <w:r>
        <w:rPr>
          <w:rFonts w:hint="eastAsia"/>
          <w:b w:val="0"/>
          <w:bCs/>
        </w:rPr>
        <w:t>地方金融组织</w:t>
      </w:r>
      <w:r>
        <w:rPr>
          <w:b w:val="0"/>
          <w:bCs/>
        </w:rPr>
        <w:t>及其工作人员、客户以及其他相关组织、个人涉嫌犯罪的，应当根据有关规定，依法向司法监察机关移送。</w:t>
      </w:r>
    </w:p>
    <w:p>
      <w:pPr>
        <w:ind w:firstLine="640"/>
        <w:rPr>
          <w:b w:val="0"/>
          <w:bCs/>
        </w:rPr>
      </w:pPr>
      <w:r>
        <w:rPr>
          <w:rFonts w:hint="eastAsia"/>
          <w:b w:val="0"/>
          <w:bCs/>
        </w:rPr>
        <w:t xml:space="preserve">第二十六条  </w:t>
      </w:r>
      <w:r>
        <w:rPr>
          <w:b w:val="0"/>
          <w:bCs/>
        </w:rPr>
        <w:t>地方金融监督管理（工作）部门应当加强对检查情况和整改情况的统计、分析，</w:t>
      </w:r>
      <w:r>
        <w:rPr>
          <w:rFonts w:hint="eastAsia"/>
          <w:b w:val="0"/>
          <w:bCs/>
        </w:rPr>
        <w:t>并完善相关工作</w:t>
      </w:r>
      <w:r>
        <w:rPr>
          <w:b w:val="0"/>
          <w:bCs/>
        </w:rPr>
        <w:t>机制。</w:t>
      </w:r>
      <w:r>
        <w:rPr>
          <w:rFonts w:hint="eastAsia"/>
          <w:b w:val="0"/>
          <w:bCs/>
        </w:rPr>
        <w:t>对</w:t>
      </w:r>
      <w:r>
        <w:rPr>
          <w:b w:val="0"/>
          <w:bCs/>
        </w:rPr>
        <w:t>检查中发现的普遍性、典型性风险和问题，应当及时采取监管通报、风险提示等措施；检查中发现的系统性风险苗头，应当及时组织研究</w:t>
      </w:r>
      <w:r>
        <w:rPr>
          <w:rFonts w:hint="eastAsia"/>
          <w:b w:val="0"/>
          <w:bCs/>
        </w:rPr>
        <w:t>，</w:t>
      </w:r>
      <w:r>
        <w:rPr>
          <w:b w:val="0"/>
          <w:bCs/>
        </w:rPr>
        <w:t>采取相应措施</w:t>
      </w:r>
      <w:r>
        <w:rPr>
          <w:rFonts w:hint="eastAsia"/>
          <w:b w:val="0"/>
          <w:bCs/>
        </w:rPr>
        <w:t>，并报属地政府和上级部门</w:t>
      </w:r>
      <w:r>
        <w:rPr>
          <w:b w:val="0"/>
          <w:bCs/>
        </w:rPr>
        <w:t>；检查中发现的监管机制和制度存在的问题，应当及时提出修订和完善监管机制与制度的建议。</w:t>
      </w:r>
    </w:p>
    <w:p>
      <w:pPr>
        <w:ind w:firstLine="640"/>
        <w:rPr>
          <w:b w:val="0"/>
          <w:bCs/>
        </w:rPr>
      </w:pPr>
    </w:p>
    <w:p>
      <w:pPr>
        <w:ind w:firstLine="0" w:firstLineChars="0"/>
        <w:jc w:val="center"/>
        <w:rPr>
          <w:rFonts w:eastAsia="黑体" w:cs="Times New Roman"/>
          <w:b w:val="0"/>
          <w:bCs/>
          <w:kern w:val="28"/>
          <w:szCs w:val="32"/>
        </w:rPr>
      </w:pPr>
      <w:r>
        <w:rPr>
          <w:rFonts w:hint="eastAsia" w:eastAsia="黑体" w:cs="Times New Roman"/>
          <w:b w:val="0"/>
          <w:bCs/>
          <w:kern w:val="28"/>
          <w:szCs w:val="32"/>
        </w:rPr>
        <w:t>第五节  档案整理</w:t>
      </w:r>
    </w:p>
    <w:p>
      <w:pPr>
        <w:ind w:firstLine="640"/>
        <w:rPr>
          <w:b w:val="0"/>
          <w:bCs/>
        </w:rPr>
      </w:pPr>
      <w:r>
        <w:rPr>
          <w:rFonts w:hint="eastAsia"/>
          <w:b w:val="0"/>
          <w:bCs/>
        </w:rPr>
        <w:t>第二十七条  地方金融监督管理（工作）部门按照档案管理有关规定，对现场检查资料进行收集、分类、整理，确保资料完整并及时归档。</w:t>
      </w:r>
    </w:p>
    <w:p>
      <w:pPr>
        <w:ind w:firstLine="640"/>
        <w:rPr>
          <w:rFonts w:eastAsia="黑体" w:cs="Times New Roman"/>
          <w:b w:val="0"/>
          <w:bCs/>
          <w:kern w:val="28"/>
          <w:szCs w:val="32"/>
        </w:rPr>
      </w:pPr>
      <w:r>
        <w:rPr>
          <w:rFonts w:hint="eastAsia"/>
          <w:b w:val="0"/>
          <w:bCs/>
        </w:rPr>
        <w:t>现场检查档案收集整理工作由监管业务处室负责，办公室做好档案保管。</w:t>
      </w:r>
    </w:p>
    <w:p>
      <w:pPr>
        <w:ind w:firstLine="0" w:firstLineChars="0"/>
        <w:jc w:val="center"/>
        <w:outlineLvl w:val="1"/>
        <w:rPr>
          <w:rFonts w:eastAsia="黑体" w:cs="Times New Roman"/>
          <w:b w:val="0"/>
          <w:bCs/>
          <w:kern w:val="28"/>
          <w:szCs w:val="32"/>
        </w:rPr>
      </w:pPr>
      <w:r>
        <w:rPr>
          <w:rFonts w:hint="eastAsia" w:eastAsia="黑体" w:cs="Times New Roman"/>
          <w:b w:val="0"/>
          <w:bCs/>
          <w:kern w:val="28"/>
          <w:szCs w:val="32"/>
        </w:rPr>
        <w:t xml:space="preserve">第四章 </w:t>
      </w:r>
      <w:r>
        <w:rPr>
          <w:rFonts w:eastAsia="黑体" w:cs="Times New Roman"/>
          <w:b w:val="0"/>
          <w:bCs/>
          <w:kern w:val="28"/>
          <w:szCs w:val="32"/>
        </w:rPr>
        <w:t xml:space="preserve"> 附</w:t>
      </w:r>
      <w:r>
        <w:rPr>
          <w:rFonts w:hint="eastAsia" w:eastAsia="黑体" w:cs="Times New Roman"/>
          <w:b w:val="0"/>
          <w:bCs/>
          <w:kern w:val="28"/>
          <w:szCs w:val="32"/>
        </w:rPr>
        <w:t xml:space="preserve"> </w:t>
      </w:r>
      <w:r>
        <w:rPr>
          <w:rFonts w:eastAsia="黑体" w:cs="Times New Roman"/>
          <w:b w:val="0"/>
          <w:bCs/>
          <w:kern w:val="28"/>
          <w:szCs w:val="32"/>
        </w:rPr>
        <w:t>则</w:t>
      </w:r>
    </w:p>
    <w:p>
      <w:pPr>
        <w:ind w:firstLine="640"/>
        <w:rPr>
          <w:b w:val="0"/>
          <w:bCs/>
        </w:rPr>
      </w:pPr>
      <w:r>
        <w:rPr>
          <w:rFonts w:hint="eastAsia"/>
          <w:b w:val="0"/>
          <w:bCs/>
        </w:rPr>
        <w:t>第二十八条</w:t>
      </w:r>
      <w:r>
        <w:rPr>
          <w:b w:val="0"/>
          <w:bCs/>
        </w:rPr>
        <w:t xml:space="preserve"> </w:t>
      </w:r>
      <w:r>
        <w:rPr>
          <w:rFonts w:hint="eastAsia"/>
          <w:b w:val="0"/>
          <w:bCs/>
        </w:rPr>
        <w:t xml:space="preserve"> 地方金融监督管理（工作）部门开展现场检查工作，应当按照“互联网+监管”有关规定使用浙政钉</w:t>
      </w:r>
      <w:r>
        <w:rPr>
          <w:rFonts w:hint="cs"/>
          <w:b w:val="0"/>
          <w:bCs/>
        </w:rPr>
        <w:t>•</w:t>
      </w:r>
      <w:r>
        <w:rPr>
          <w:rFonts w:hint="eastAsia"/>
          <w:b w:val="0"/>
          <w:bCs/>
        </w:rPr>
        <w:t>掌上执法系统。</w:t>
      </w:r>
    </w:p>
    <w:p>
      <w:pPr>
        <w:ind w:firstLine="640"/>
        <w:rPr>
          <w:b w:val="0"/>
          <w:bCs/>
        </w:rPr>
      </w:pPr>
      <w:r>
        <w:rPr>
          <w:b w:val="0"/>
          <w:bCs/>
        </w:rPr>
        <w:t>第</w:t>
      </w:r>
      <w:r>
        <w:rPr>
          <w:rFonts w:hint="eastAsia"/>
          <w:b w:val="0"/>
          <w:bCs/>
        </w:rPr>
        <w:t>二十九</w:t>
      </w:r>
      <w:r>
        <w:rPr>
          <w:b w:val="0"/>
          <w:bCs/>
        </w:rPr>
        <w:t>条</w:t>
      </w:r>
      <w:r>
        <w:rPr>
          <w:rFonts w:hint="eastAsia"/>
          <w:b w:val="0"/>
          <w:bCs/>
        </w:rPr>
        <w:t xml:space="preserve">  </w:t>
      </w:r>
      <w:r>
        <w:rPr>
          <w:b w:val="0"/>
          <w:bCs/>
        </w:rPr>
        <w:t>地方金融监督管理（工作）部门根据日常监管需要，开展的信访举报和投诉核查、监管走访、督查或调研等活动，不属于本办法规定的现场检查。</w:t>
      </w:r>
    </w:p>
    <w:p>
      <w:pPr>
        <w:ind w:firstLine="640"/>
        <w:rPr>
          <w:b w:val="0"/>
          <w:bCs/>
        </w:rPr>
      </w:pPr>
      <w:r>
        <w:rPr>
          <w:b w:val="0"/>
          <w:bCs/>
        </w:rPr>
        <w:t>第</w:t>
      </w:r>
      <w:r>
        <w:rPr>
          <w:rFonts w:hint="eastAsia"/>
          <w:b w:val="0"/>
          <w:bCs/>
        </w:rPr>
        <w:t>三十</w:t>
      </w:r>
      <w:r>
        <w:rPr>
          <w:b w:val="0"/>
          <w:bCs/>
        </w:rPr>
        <w:t>条</w:t>
      </w:r>
      <w:r>
        <w:rPr>
          <w:rFonts w:hint="eastAsia"/>
          <w:b w:val="0"/>
          <w:bCs/>
        </w:rPr>
        <w:t xml:space="preserve">  </w:t>
      </w:r>
      <w:r>
        <w:rPr>
          <w:b w:val="0"/>
          <w:bCs/>
        </w:rPr>
        <w:t>现场检查过程涉及</w:t>
      </w:r>
      <w:r>
        <w:rPr>
          <w:rFonts w:hint="eastAsia"/>
          <w:b w:val="0"/>
          <w:bCs/>
        </w:rPr>
        <w:t>的其他</w:t>
      </w:r>
      <w:r>
        <w:rPr>
          <w:b w:val="0"/>
          <w:bCs/>
        </w:rPr>
        <w:t>表单、常用文书，参照浙江省常用行政执法文书参考样式。</w:t>
      </w:r>
    </w:p>
    <w:p>
      <w:pPr>
        <w:ind w:firstLine="640"/>
        <w:rPr>
          <w:b w:val="0"/>
          <w:bCs/>
        </w:rPr>
      </w:pPr>
      <w:r>
        <w:rPr>
          <w:b w:val="0"/>
          <w:bCs/>
        </w:rPr>
        <w:t>第</w:t>
      </w:r>
      <w:r>
        <w:rPr>
          <w:rFonts w:hint="eastAsia"/>
          <w:b w:val="0"/>
          <w:bCs/>
        </w:rPr>
        <w:t>三十一</w:t>
      </w:r>
      <w:r>
        <w:rPr>
          <w:b w:val="0"/>
          <w:bCs/>
        </w:rPr>
        <w:t>条</w:t>
      </w:r>
      <w:r>
        <w:rPr>
          <w:rFonts w:hint="eastAsia"/>
          <w:b w:val="0"/>
          <w:bCs/>
        </w:rPr>
        <w:t xml:space="preserve">  本办法施行后，国务院、国务院金融监督管理机构以及其他有关部委出台的地方金融监管规定与本办法不一致的，按照新规定执行。</w:t>
      </w:r>
    </w:p>
    <w:p>
      <w:pPr>
        <w:ind w:firstLine="640"/>
        <w:rPr>
          <w:b w:val="0"/>
          <w:bCs/>
        </w:rPr>
      </w:pPr>
      <w:r>
        <w:rPr>
          <w:b w:val="0"/>
          <w:bCs/>
        </w:rPr>
        <w:t>第</w:t>
      </w:r>
      <w:r>
        <w:rPr>
          <w:rFonts w:hint="eastAsia"/>
          <w:b w:val="0"/>
          <w:bCs/>
        </w:rPr>
        <w:t>三十二</w:t>
      </w:r>
      <w:r>
        <w:rPr>
          <w:b w:val="0"/>
          <w:bCs/>
        </w:rPr>
        <w:t>条</w:t>
      </w:r>
      <w:r>
        <w:rPr>
          <w:rFonts w:hint="eastAsia"/>
          <w:b w:val="0"/>
          <w:bCs/>
        </w:rPr>
        <w:t xml:space="preserve">  </w:t>
      </w:r>
      <w:r>
        <w:rPr>
          <w:b w:val="0"/>
          <w:bCs/>
        </w:rPr>
        <w:t>本办法自</w:t>
      </w:r>
      <w:r>
        <w:rPr>
          <w:rFonts w:hint="eastAsia"/>
          <w:b w:val="0"/>
          <w:bCs/>
        </w:rPr>
        <w:t>2021年 月 日</w:t>
      </w:r>
      <w:r>
        <w:rPr>
          <w:b w:val="0"/>
          <w:bCs/>
        </w:rPr>
        <w:t>起施行，由宁波</w:t>
      </w:r>
      <w:r>
        <w:rPr>
          <w:rFonts w:hint="eastAsia"/>
          <w:b w:val="0"/>
          <w:bCs/>
        </w:rPr>
        <w:t>市</w:t>
      </w:r>
      <w:r>
        <w:rPr>
          <w:b w:val="0"/>
          <w:bCs/>
        </w:rPr>
        <w:t>地方金融</w:t>
      </w:r>
      <w:r>
        <w:rPr>
          <w:rFonts w:hint="eastAsia"/>
          <w:b w:val="0"/>
          <w:bCs/>
        </w:rPr>
        <w:t>监督管理</w:t>
      </w:r>
      <w:r>
        <w:rPr>
          <w:b w:val="0"/>
          <w:bCs/>
        </w:rPr>
        <w:t>局负责解释。</w:t>
      </w:r>
    </w:p>
    <w:p>
      <w:pPr>
        <w:ind w:firstLine="640"/>
        <w:jc w:val="left"/>
        <w:rPr>
          <w:rFonts w:ascii="仿宋_GB2312" w:hAnsi="仿宋_GB2312" w:cs="仿宋_GB2312"/>
          <w:b w:val="0"/>
          <w:bCs/>
          <w:szCs w:val="32"/>
        </w:rPr>
      </w:pPr>
    </w:p>
    <w:p>
      <w:pPr>
        <w:ind w:firstLine="640"/>
        <w:jc w:val="left"/>
        <w:rPr>
          <w:rFonts w:ascii="仿宋_GB2312" w:hAnsi="仿宋_GB2312" w:cs="仿宋_GB2312"/>
          <w:b w:val="0"/>
          <w:bCs/>
          <w:szCs w:val="32"/>
        </w:rPr>
      </w:pPr>
    </w:p>
    <w:p>
      <w:pPr>
        <w:ind w:firstLine="0" w:firstLineChars="0"/>
        <w:jc w:val="left"/>
        <w:rPr>
          <w:rFonts w:ascii="仿宋_GB2312" w:hAnsi="仿宋_GB2312" w:cs="仿宋_GB2312"/>
          <w:b w:val="0"/>
          <w:bCs/>
          <w:szCs w:val="32"/>
        </w:rPr>
      </w:pPr>
    </w:p>
    <w:p>
      <w:pPr>
        <w:ind w:firstLine="640"/>
        <w:jc w:val="left"/>
        <w:rPr>
          <w:rFonts w:ascii="仿宋_GB2312" w:hAnsi="仿宋_GB2312" w:cs="仿宋_GB2312"/>
          <w:b w:val="0"/>
          <w:bCs/>
          <w:szCs w:val="32"/>
        </w:rPr>
      </w:pPr>
    </w:p>
    <w:p>
      <w:pPr>
        <w:ind w:firstLine="560"/>
        <w:jc w:val="left"/>
        <w:rPr>
          <w:rFonts w:ascii="仿宋_GB2312"/>
          <w:b w:val="0"/>
          <w:bCs/>
          <w:sz w:val="28"/>
          <w:szCs w:val="28"/>
        </w:rPr>
      </w:pPr>
      <w:r>
        <w:rPr>
          <w:rFonts w:hint="eastAsia" w:ascii="仿宋_GB2312" w:hAnsi="仿宋_GB2312" w:cs="仿宋_GB2312"/>
          <w:b w:val="0"/>
          <w:bCs/>
          <w:sz w:val="28"/>
          <w:szCs w:val="28"/>
        </w:rPr>
        <w:t>附件1.</w:t>
      </w:r>
      <w:r>
        <w:rPr>
          <w:rFonts w:hint="eastAsia" w:ascii="仿宋_GB2312"/>
          <w:b w:val="0"/>
          <w:bCs/>
          <w:sz w:val="28"/>
          <w:szCs w:val="28"/>
        </w:rPr>
        <w:t>现场检查通知书</w:t>
      </w:r>
    </w:p>
    <w:p>
      <w:pPr>
        <w:ind w:firstLine="560"/>
        <w:jc w:val="left"/>
        <w:rPr>
          <w:rFonts w:ascii="仿宋_GB2312"/>
          <w:b w:val="0"/>
          <w:bCs/>
          <w:sz w:val="28"/>
          <w:szCs w:val="28"/>
        </w:rPr>
      </w:pPr>
      <w:r>
        <w:rPr>
          <w:rFonts w:hint="eastAsia" w:ascii="仿宋_GB2312"/>
          <w:b w:val="0"/>
          <w:bCs/>
          <w:sz w:val="28"/>
          <w:szCs w:val="28"/>
        </w:rPr>
        <w:t>附件2.现场检查进点会谈记录</w:t>
      </w:r>
    </w:p>
    <w:p>
      <w:pPr>
        <w:ind w:firstLine="560"/>
        <w:jc w:val="left"/>
        <w:rPr>
          <w:rFonts w:ascii="仿宋_GB2312"/>
          <w:b w:val="0"/>
          <w:bCs/>
          <w:sz w:val="28"/>
          <w:szCs w:val="28"/>
        </w:rPr>
      </w:pPr>
      <w:r>
        <w:rPr>
          <w:rFonts w:hint="eastAsia" w:ascii="仿宋_GB2312"/>
          <w:b w:val="0"/>
          <w:bCs/>
          <w:sz w:val="28"/>
          <w:szCs w:val="28"/>
        </w:rPr>
        <w:t>附件3.现场检查工作底稿</w:t>
      </w:r>
    </w:p>
    <w:p>
      <w:pPr>
        <w:ind w:firstLine="560"/>
        <w:jc w:val="left"/>
        <w:rPr>
          <w:rFonts w:ascii="仿宋_GB2312"/>
          <w:b w:val="0"/>
          <w:bCs/>
          <w:sz w:val="28"/>
          <w:szCs w:val="28"/>
        </w:rPr>
      </w:pPr>
      <w:r>
        <w:rPr>
          <w:rFonts w:hint="eastAsia" w:ascii="仿宋_GB2312"/>
          <w:b w:val="0"/>
          <w:bCs/>
          <w:sz w:val="28"/>
          <w:szCs w:val="28"/>
        </w:rPr>
        <w:t>附件4.现场检查询问笔录</w:t>
      </w:r>
    </w:p>
    <w:p>
      <w:pPr>
        <w:ind w:firstLine="560"/>
        <w:jc w:val="left"/>
        <w:rPr>
          <w:rFonts w:ascii="仿宋_GB2312"/>
          <w:b w:val="0"/>
          <w:bCs/>
          <w:sz w:val="28"/>
          <w:szCs w:val="28"/>
        </w:rPr>
      </w:pPr>
      <w:r>
        <w:rPr>
          <w:rFonts w:hint="eastAsia" w:ascii="仿宋_GB2312"/>
          <w:b w:val="0"/>
          <w:bCs/>
          <w:sz w:val="28"/>
          <w:szCs w:val="28"/>
        </w:rPr>
        <w:t>附件5.现场检查事实确认书</w:t>
      </w:r>
    </w:p>
    <w:p>
      <w:pPr>
        <w:ind w:firstLine="560"/>
        <w:rPr>
          <w:b w:val="0"/>
          <w:bCs/>
        </w:rPr>
      </w:pPr>
      <w:r>
        <w:rPr>
          <w:rFonts w:hint="eastAsia" w:ascii="仿宋_GB2312"/>
          <w:b w:val="0"/>
          <w:bCs/>
          <w:sz w:val="28"/>
          <w:szCs w:val="28"/>
        </w:rPr>
        <w:t>附件6.现场检查事实事实与评价</w:t>
      </w:r>
    </w:p>
    <w:p>
      <w:pPr>
        <w:ind w:firstLine="560"/>
        <w:rPr>
          <w:rFonts w:ascii="仿宋_GB2312"/>
          <w:b w:val="0"/>
          <w:bCs/>
          <w:sz w:val="28"/>
          <w:szCs w:val="28"/>
        </w:rPr>
      </w:pPr>
      <w:r>
        <w:rPr>
          <w:rFonts w:hint="eastAsia" w:ascii="仿宋_GB2312"/>
          <w:b w:val="0"/>
          <w:bCs/>
          <w:sz w:val="28"/>
          <w:szCs w:val="28"/>
        </w:rPr>
        <w:t>附件7.现场检查工作报告</w:t>
      </w:r>
    </w:p>
    <w:p>
      <w:pPr>
        <w:ind w:firstLine="560"/>
        <w:rPr>
          <w:rFonts w:ascii="仿宋_GB2312"/>
          <w:b w:val="0"/>
          <w:bCs/>
          <w:sz w:val="28"/>
          <w:szCs w:val="28"/>
        </w:rPr>
      </w:pPr>
      <w:r>
        <w:rPr>
          <w:rFonts w:hint="eastAsia" w:ascii="仿宋_GB2312"/>
          <w:b w:val="0"/>
          <w:bCs/>
          <w:sz w:val="28"/>
          <w:szCs w:val="28"/>
        </w:rPr>
        <w:t>附件8.现场检查意见书</w:t>
      </w:r>
    </w:p>
    <w:p>
      <w:pPr>
        <w:spacing w:line="600" w:lineRule="exact"/>
        <w:ind w:firstLine="0" w:firstLineChars="0"/>
        <w:rPr>
          <w:rFonts w:ascii="仿宋_GB2312"/>
          <w:b w:val="0"/>
          <w:bCs/>
          <w:szCs w:val="32"/>
        </w:rPr>
      </w:pPr>
    </w:p>
    <w:p>
      <w:pPr>
        <w:spacing w:line="600" w:lineRule="exact"/>
        <w:ind w:firstLine="0" w:firstLineChars="0"/>
        <w:rPr>
          <w:rFonts w:ascii="仿宋_GB2312"/>
          <w:b w:val="0"/>
          <w:bCs/>
          <w:szCs w:val="32"/>
        </w:rPr>
      </w:pPr>
    </w:p>
    <w:p>
      <w:pPr>
        <w:spacing w:line="600" w:lineRule="exact"/>
        <w:ind w:firstLine="0" w:firstLineChars="0"/>
        <w:rPr>
          <w:rFonts w:ascii="仿宋_GB2312"/>
          <w:b w:val="0"/>
          <w:bCs/>
          <w:szCs w:val="32"/>
        </w:rPr>
      </w:pPr>
    </w:p>
    <w:p>
      <w:pPr>
        <w:spacing w:line="600" w:lineRule="exact"/>
        <w:ind w:firstLine="0" w:firstLineChars="0"/>
        <w:rPr>
          <w:rFonts w:ascii="仿宋_GB2312"/>
          <w:b w:val="0"/>
          <w:bCs/>
          <w:szCs w:val="32"/>
        </w:rPr>
      </w:pPr>
    </w:p>
    <w:p>
      <w:pPr>
        <w:spacing w:line="600" w:lineRule="exact"/>
        <w:ind w:firstLine="0" w:firstLineChars="0"/>
        <w:rPr>
          <w:rFonts w:ascii="仿宋_GB2312"/>
          <w:b w:val="0"/>
          <w:bCs/>
          <w:szCs w:val="32"/>
        </w:rPr>
      </w:pPr>
    </w:p>
    <w:p>
      <w:pPr>
        <w:spacing w:line="600" w:lineRule="exact"/>
        <w:ind w:firstLine="0" w:firstLineChars="0"/>
        <w:rPr>
          <w:rFonts w:ascii="仿宋_GB2312"/>
          <w:b w:val="0"/>
          <w:bCs/>
          <w:szCs w:val="32"/>
        </w:rPr>
      </w:pPr>
    </w:p>
    <w:p>
      <w:pPr>
        <w:spacing w:line="600" w:lineRule="exact"/>
        <w:ind w:firstLine="0" w:firstLineChars="0"/>
        <w:rPr>
          <w:rFonts w:ascii="仿宋_GB2312"/>
          <w:b w:val="0"/>
          <w:bCs/>
          <w:szCs w:val="32"/>
        </w:rPr>
      </w:pPr>
    </w:p>
    <w:p>
      <w:pPr>
        <w:spacing w:line="600" w:lineRule="exact"/>
        <w:ind w:firstLine="0" w:firstLineChars="0"/>
        <w:rPr>
          <w:rFonts w:ascii="仿宋_GB2312"/>
          <w:b w:val="0"/>
          <w:bCs/>
          <w:szCs w:val="32"/>
        </w:rPr>
      </w:pPr>
    </w:p>
    <w:p>
      <w:pPr>
        <w:spacing w:line="600" w:lineRule="exact"/>
        <w:ind w:firstLine="0" w:firstLineChars="0"/>
        <w:rPr>
          <w:rFonts w:ascii="仿宋_GB2312"/>
          <w:b w:val="0"/>
          <w:bCs/>
          <w:szCs w:val="32"/>
        </w:rPr>
      </w:pPr>
    </w:p>
    <w:p>
      <w:pPr>
        <w:spacing w:line="600" w:lineRule="exact"/>
        <w:ind w:firstLine="0" w:firstLineChars="0"/>
        <w:rPr>
          <w:rFonts w:ascii="仿宋_GB2312"/>
          <w:b w:val="0"/>
          <w:bCs/>
          <w:szCs w:val="32"/>
        </w:rPr>
      </w:pPr>
    </w:p>
    <w:p>
      <w:pPr>
        <w:spacing w:line="600" w:lineRule="exact"/>
        <w:ind w:firstLine="0" w:firstLineChars="0"/>
        <w:rPr>
          <w:rFonts w:ascii="仿宋_GB2312"/>
          <w:b w:val="0"/>
          <w:bCs/>
          <w:szCs w:val="32"/>
        </w:rPr>
      </w:pPr>
    </w:p>
    <w:p>
      <w:pPr>
        <w:spacing w:line="600" w:lineRule="exact"/>
        <w:ind w:firstLine="0" w:firstLineChars="0"/>
        <w:rPr>
          <w:rFonts w:ascii="仿宋_GB2312"/>
          <w:b w:val="0"/>
          <w:bCs/>
          <w:szCs w:val="32"/>
        </w:rPr>
      </w:pPr>
    </w:p>
    <w:p>
      <w:pPr>
        <w:spacing w:line="600" w:lineRule="exact"/>
        <w:ind w:firstLine="0" w:firstLineChars="0"/>
        <w:rPr>
          <w:rFonts w:ascii="仿宋_GB2312"/>
          <w:b w:val="0"/>
          <w:bCs/>
          <w:szCs w:val="32"/>
        </w:rPr>
      </w:pPr>
    </w:p>
    <w:p>
      <w:pPr>
        <w:spacing w:line="600" w:lineRule="exact"/>
        <w:ind w:firstLine="640"/>
        <w:rPr>
          <w:rFonts w:ascii="仿宋_GB2312"/>
          <w:b w:val="0"/>
          <w:bCs/>
          <w:szCs w:val="32"/>
        </w:rPr>
      </w:pPr>
      <w:r>
        <w:rPr>
          <w:rFonts w:hint="eastAsia" w:ascii="仿宋_GB2312"/>
          <w:b w:val="0"/>
          <w:bCs/>
          <w:szCs w:val="32"/>
        </w:rPr>
        <w:t>附件1</w:t>
      </w:r>
    </w:p>
    <w:p>
      <w:pPr>
        <w:spacing w:line="600" w:lineRule="exact"/>
        <w:ind w:firstLine="880"/>
        <w:jc w:val="center"/>
        <w:rPr>
          <w:rFonts w:ascii="创艺简标宋" w:eastAsia="创艺简标宋"/>
          <w:b w:val="0"/>
          <w:bCs/>
          <w:sz w:val="44"/>
          <w:szCs w:val="44"/>
        </w:rPr>
      </w:pPr>
    </w:p>
    <w:p>
      <w:pPr>
        <w:spacing w:line="600" w:lineRule="exact"/>
        <w:ind w:firstLine="2860" w:firstLineChars="650"/>
        <w:rPr>
          <w:rFonts w:ascii="创艺简" w:hAnsi="创艺简" w:eastAsia="创艺简" w:cs="创艺简"/>
          <w:b w:val="0"/>
          <w:bCs/>
          <w:sz w:val="44"/>
          <w:szCs w:val="44"/>
        </w:rPr>
      </w:pPr>
      <w:r>
        <w:rPr>
          <w:rFonts w:hint="eastAsia" w:ascii="创艺简" w:hAnsi="创艺简" w:eastAsia="创艺简" w:cs="创艺简"/>
          <w:b w:val="0"/>
          <w:bCs/>
          <w:sz w:val="44"/>
          <w:szCs w:val="44"/>
        </w:rPr>
        <w:t>现场检查通知书</w:t>
      </w:r>
    </w:p>
    <w:p>
      <w:pPr>
        <w:spacing w:line="600" w:lineRule="exact"/>
        <w:ind w:firstLine="2860" w:firstLineChars="650"/>
        <w:rPr>
          <w:rFonts w:ascii="创艺简标宋" w:eastAsia="创艺简标宋"/>
          <w:b w:val="0"/>
          <w:bCs/>
          <w:sz w:val="44"/>
          <w:szCs w:val="44"/>
        </w:rPr>
      </w:pPr>
    </w:p>
    <w:p>
      <w:pPr>
        <w:spacing w:line="600" w:lineRule="exact"/>
        <w:ind w:firstLine="640"/>
        <w:rPr>
          <w:rFonts w:ascii="仿宋_GB2312"/>
          <w:b w:val="0"/>
          <w:bCs/>
          <w:szCs w:val="32"/>
        </w:rPr>
      </w:pPr>
      <w:r>
        <w:rPr>
          <w:rFonts w:hint="eastAsia" w:ascii="仿宋_GB2312"/>
          <w:b w:val="0"/>
          <w:bCs/>
          <w:szCs w:val="32"/>
        </w:rPr>
        <w:t>××××××公司：</w:t>
      </w:r>
    </w:p>
    <w:p>
      <w:pPr>
        <w:spacing w:line="600" w:lineRule="exact"/>
        <w:ind w:firstLine="640"/>
        <w:rPr>
          <w:rFonts w:ascii="仿宋_GB2312"/>
          <w:b w:val="0"/>
          <w:bCs/>
          <w:szCs w:val="32"/>
        </w:rPr>
      </w:pPr>
      <w:r>
        <w:rPr>
          <w:rFonts w:hint="eastAsia" w:ascii="仿宋_GB2312"/>
          <w:b w:val="0"/>
          <w:bCs/>
          <w:szCs w:val="32"/>
        </w:rPr>
        <w:t>依据                                         ，特派出检查组对你单位进行现场检查。</w:t>
      </w:r>
    </w:p>
    <w:p>
      <w:pPr>
        <w:spacing w:line="600" w:lineRule="exact"/>
        <w:ind w:firstLine="640"/>
        <w:rPr>
          <w:rFonts w:ascii="仿宋_GB2312"/>
          <w:b w:val="0"/>
          <w:bCs/>
          <w:szCs w:val="32"/>
        </w:rPr>
      </w:pPr>
      <w:r>
        <w:rPr>
          <w:rFonts w:hint="eastAsia" w:ascii="仿宋_GB2312"/>
          <w:b w:val="0"/>
          <w:bCs/>
          <w:szCs w:val="32"/>
        </w:rPr>
        <w:t>检查内容：</w:t>
      </w:r>
    </w:p>
    <w:p>
      <w:pPr>
        <w:spacing w:line="600" w:lineRule="exact"/>
        <w:ind w:firstLine="640"/>
        <w:rPr>
          <w:rFonts w:ascii="仿宋_GB2312"/>
          <w:b w:val="0"/>
          <w:bCs/>
          <w:szCs w:val="32"/>
        </w:rPr>
      </w:pPr>
      <w:r>
        <w:rPr>
          <w:rFonts w:hint="eastAsia" w:ascii="仿宋_GB2312"/>
          <w:b w:val="0"/>
          <w:bCs/>
          <w:szCs w:val="32"/>
        </w:rPr>
        <w:t>检查时间：</w:t>
      </w:r>
    </w:p>
    <w:p>
      <w:pPr>
        <w:spacing w:line="600" w:lineRule="exact"/>
        <w:ind w:firstLine="640"/>
        <w:rPr>
          <w:rFonts w:ascii="仿宋_GB2312"/>
          <w:b w:val="0"/>
          <w:bCs/>
          <w:szCs w:val="32"/>
        </w:rPr>
      </w:pPr>
      <w:r>
        <w:rPr>
          <w:rFonts w:hint="eastAsia" w:ascii="仿宋_GB2312"/>
          <w:b w:val="0"/>
          <w:bCs/>
          <w:szCs w:val="32"/>
        </w:rPr>
        <w:t>提供材料清单：</w:t>
      </w:r>
    </w:p>
    <w:p>
      <w:pPr>
        <w:spacing w:line="600" w:lineRule="exact"/>
        <w:ind w:firstLine="640"/>
        <w:rPr>
          <w:rFonts w:ascii="仿宋_GB2312"/>
          <w:b w:val="0"/>
          <w:bCs/>
          <w:szCs w:val="32"/>
        </w:rPr>
      </w:pPr>
      <w:r>
        <w:rPr>
          <w:rFonts w:hint="eastAsia" w:ascii="仿宋_GB2312"/>
          <w:b w:val="0"/>
          <w:bCs/>
          <w:szCs w:val="32"/>
        </w:rPr>
        <w:t>请你单位积极配合现场检查，并提供必要的工作条件。</w:t>
      </w:r>
    </w:p>
    <w:p>
      <w:pPr>
        <w:spacing w:line="600" w:lineRule="exact"/>
        <w:ind w:firstLine="640"/>
        <w:rPr>
          <w:rFonts w:ascii="仿宋_GB2312"/>
          <w:b w:val="0"/>
          <w:bCs/>
          <w:szCs w:val="32"/>
        </w:rPr>
      </w:pPr>
      <w:r>
        <w:rPr>
          <w:rFonts w:hint="eastAsia" w:ascii="仿宋_GB2312"/>
          <w:b w:val="0"/>
          <w:bCs/>
          <w:szCs w:val="32"/>
        </w:rPr>
        <w:t>检查组组长：</w:t>
      </w:r>
    </w:p>
    <w:p>
      <w:pPr>
        <w:spacing w:line="600" w:lineRule="exact"/>
        <w:ind w:firstLine="640"/>
        <w:rPr>
          <w:rFonts w:ascii="仿宋_GB2312"/>
          <w:b w:val="0"/>
          <w:bCs/>
          <w:szCs w:val="32"/>
        </w:rPr>
      </w:pPr>
      <w:r>
        <w:rPr>
          <w:rFonts w:hint="eastAsia" w:ascii="仿宋_GB2312"/>
          <w:b w:val="0"/>
          <w:bCs/>
          <w:szCs w:val="32"/>
        </w:rPr>
        <w:t>检查组成员：</w:t>
      </w:r>
    </w:p>
    <w:p>
      <w:pPr>
        <w:spacing w:line="600" w:lineRule="exact"/>
        <w:ind w:firstLine="640"/>
        <w:rPr>
          <w:rFonts w:ascii="仿宋_GB2312"/>
          <w:b w:val="0"/>
          <w:bCs/>
          <w:szCs w:val="32"/>
        </w:rPr>
      </w:pPr>
    </w:p>
    <w:p>
      <w:pPr>
        <w:spacing w:line="600" w:lineRule="exact"/>
        <w:ind w:firstLine="640"/>
        <w:rPr>
          <w:rFonts w:ascii="仿宋_GB2312"/>
          <w:b w:val="0"/>
          <w:bCs/>
          <w:szCs w:val="32"/>
        </w:rPr>
      </w:pPr>
      <w:r>
        <w:rPr>
          <w:rFonts w:hint="eastAsia" w:ascii="仿宋_GB2312"/>
          <w:b w:val="0"/>
          <w:bCs/>
          <w:szCs w:val="32"/>
        </w:rPr>
        <w:t xml:space="preserve">                      </w:t>
      </w:r>
    </w:p>
    <w:p>
      <w:pPr>
        <w:spacing w:line="600" w:lineRule="exact"/>
        <w:ind w:firstLine="640"/>
        <w:rPr>
          <w:rFonts w:ascii="仿宋_GB2312"/>
          <w:b w:val="0"/>
          <w:bCs/>
          <w:szCs w:val="32"/>
        </w:rPr>
      </w:pPr>
      <w:r>
        <w:rPr>
          <w:rFonts w:hint="eastAsia" w:ascii="仿宋_GB2312"/>
          <w:b w:val="0"/>
          <w:bCs/>
          <w:szCs w:val="32"/>
        </w:rPr>
        <w:t xml:space="preserve">                                ××× </w:t>
      </w:r>
    </w:p>
    <w:p>
      <w:pPr>
        <w:spacing w:line="600" w:lineRule="exact"/>
        <w:ind w:firstLine="640"/>
        <w:rPr>
          <w:rFonts w:ascii="仿宋_GB2312"/>
          <w:b w:val="0"/>
          <w:bCs/>
          <w:szCs w:val="32"/>
        </w:rPr>
      </w:pPr>
      <w:r>
        <w:rPr>
          <w:rFonts w:hint="eastAsia" w:ascii="仿宋_GB2312"/>
          <w:b w:val="0"/>
          <w:bCs/>
          <w:szCs w:val="32"/>
        </w:rPr>
        <w:t xml:space="preserve">                             年   月   日  </w:t>
      </w:r>
    </w:p>
    <w:p>
      <w:pPr>
        <w:tabs>
          <w:tab w:val="left" w:pos="1590"/>
        </w:tabs>
        <w:spacing w:line="600" w:lineRule="exact"/>
        <w:ind w:firstLine="640"/>
        <w:rPr>
          <w:rFonts w:ascii="仿宋_GB2312"/>
          <w:b w:val="0"/>
          <w:bCs/>
          <w:szCs w:val="32"/>
        </w:rPr>
      </w:pPr>
      <w:r>
        <w:rPr>
          <w:rFonts w:ascii="仿宋_GB2312"/>
          <w:b w:val="0"/>
          <w:bCs/>
          <w:szCs w:val="32"/>
        </w:rPr>
        <w:tab/>
      </w:r>
    </w:p>
    <w:p>
      <w:pPr>
        <w:spacing w:line="600" w:lineRule="exact"/>
        <w:ind w:firstLine="0" w:firstLineChars="0"/>
        <w:rPr>
          <w:rFonts w:ascii="仿宋_GB2312"/>
          <w:b w:val="0"/>
          <w:bCs/>
          <w:szCs w:val="32"/>
        </w:rPr>
      </w:pPr>
    </w:p>
    <w:p>
      <w:pPr>
        <w:spacing w:line="600" w:lineRule="exact"/>
        <w:ind w:firstLine="0" w:firstLineChars="0"/>
        <w:rPr>
          <w:rFonts w:hint="eastAsia" w:ascii="仿宋_GB2312"/>
          <w:b w:val="0"/>
          <w:bCs/>
          <w:szCs w:val="32"/>
        </w:rPr>
      </w:pPr>
    </w:p>
    <w:p>
      <w:pPr>
        <w:spacing w:line="600" w:lineRule="exact"/>
        <w:ind w:firstLine="0" w:firstLineChars="0"/>
        <w:rPr>
          <w:rFonts w:hint="eastAsia" w:ascii="仿宋_GB2312"/>
          <w:b w:val="0"/>
          <w:bCs/>
          <w:szCs w:val="32"/>
        </w:rPr>
      </w:pPr>
    </w:p>
    <w:p>
      <w:pPr>
        <w:spacing w:line="600" w:lineRule="exact"/>
        <w:ind w:firstLine="0" w:firstLineChars="0"/>
        <w:rPr>
          <w:rFonts w:hint="eastAsia" w:ascii="仿宋_GB2312"/>
          <w:b w:val="0"/>
          <w:bCs/>
          <w:szCs w:val="32"/>
        </w:rPr>
      </w:pPr>
    </w:p>
    <w:p>
      <w:pPr>
        <w:spacing w:line="600" w:lineRule="exact"/>
        <w:ind w:firstLine="0" w:firstLineChars="0"/>
        <w:rPr>
          <w:rFonts w:ascii="仿宋_GB2312"/>
          <w:b w:val="0"/>
          <w:bCs/>
          <w:szCs w:val="32"/>
        </w:rPr>
      </w:pPr>
    </w:p>
    <w:p>
      <w:pPr>
        <w:spacing w:line="240" w:lineRule="auto"/>
        <w:ind w:firstLine="0" w:firstLineChars="0"/>
        <w:rPr>
          <w:rFonts w:ascii="仿宋_GB2312" w:hAnsi="Calibri" w:cs="Times New Roman"/>
          <w:b w:val="0"/>
          <w:bCs/>
          <w:szCs w:val="32"/>
        </w:rPr>
      </w:pPr>
      <w:r>
        <w:rPr>
          <w:rFonts w:hint="eastAsia" w:ascii="仿宋_GB2312" w:hAnsi="Calibri" w:cs="Times New Roman"/>
          <w:b w:val="0"/>
          <w:bCs/>
          <w:szCs w:val="32"/>
        </w:rPr>
        <w:t>附件2</w:t>
      </w:r>
    </w:p>
    <w:p>
      <w:pPr>
        <w:spacing w:line="600" w:lineRule="exact"/>
        <w:ind w:firstLine="0" w:firstLineChars="0"/>
        <w:jc w:val="center"/>
        <w:rPr>
          <w:rFonts w:ascii="创艺简" w:hAnsi="创艺简" w:eastAsia="创艺简" w:cs="创艺简"/>
          <w:b w:val="0"/>
          <w:bCs/>
          <w:szCs w:val="32"/>
        </w:rPr>
      </w:pPr>
      <w:r>
        <w:rPr>
          <w:rFonts w:hint="eastAsia" w:ascii="创艺简" w:hAnsi="创艺简" w:eastAsia="创艺简" w:cs="创艺简"/>
          <w:b w:val="0"/>
          <w:bCs/>
          <w:szCs w:val="32"/>
        </w:rPr>
        <w:t>现场检查进点会谈记录</w:t>
      </w:r>
    </w:p>
    <w:p>
      <w:pPr>
        <w:spacing w:line="360" w:lineRule="auto"/>
        <w:ind w:left="-547" w:firstLine="630" w:firstLineChars="0"/>
        <w:rPr>
          <w:rFonts w:ascii="Calibri" w:hAnsi="Calibri" w:eastAsia="宋体" w:cs="Times New Roman"/>
          <w:b w:val="0"/>
          <w:bCs/>
          <w:sz w:val="21"/>
          <w:szCs w:val="24"/>
        </w:rPr>
      </w:pPr>
      <w:r>
        <w:rPr>
          <w:rFonts w:hint="eastAsia" w:ascii="Calibri" w:hAnsi="Calibri" w:eastAsia="宋体" w:cs="Times New Roman"/>
          <w:b w:val="0"/>
          <w:bCs/>
          <w:sz w:val="21"/>
          <w:szCs w:val="24"/>
        </w:rPr>
        <w:t>编</w:t>
      </w:r>
      <w:r>
        <w:rPr>
          <w:rFonts w:ascii="Calibri" w:hAnsi="Calibri" w:eastAsia="宋体" w:cs="Times New Roman"/>
          <w:b w:val="0"/>
          <w:bCs/>
          <w:sz w:val="21"/>
          <w:szCs w:val="24"/>
        </w:rPr>
        <w:t xml:space="preserve">号：                                </w:t>
      </w:r>
      <w:r>
        <w:rPr>
          <w:rFonts w:hint="eastAsia" w:ascii="Calibri" w:hAnsi="Calibri" w:eastAsia="宋体" w:cs="Times New Roman"/>
          <w:b w:val="0"/>
          <w:bCs/>
          <w:sz w:val="21"/>
          <w:szCs w:val="24"/>
        </w:rPr>
        <w:t xml:space="preserve">               </w:t>
      </w:r>
      <w:r>
        <w:rPr>
          <w:rFonts w:ascii="Calibri" w:hAnsi="Calibri" w:eastAsia="宋体" w:cs="Times New Roman"/>
          <w:b w:val="0"/>
          <w:bCs/>
          <w:sz w:val="21"/>
          <w:szCs w:val="24"/>
        </w:rPr>
        <w:t>第    页（共    页）</w:t>
      </w:r>
    </w:p>
    <w:tbl>
      <w:tblPr>
        <w:tblStyle w:val="4"/>
        <w:tblW w:w="8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3901"/>
        <w:gridCol w:w="1399"/>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744"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被检查对象</w:t>
            </w:r>
            <w:r>
              <w:rPr>
                <w:rFonts w:ascii="Calibri" w:hAnsi="Calibri" w:eastAsia="宋体" w:cs="Times New Roman"/>
                <w:b w:val="0"/>
                <w:bCs/>
                <w:sz w:val="21"/>
                <w:szCs w:val="24"/>
              </w:rPr>
              <w:t>名称</w:t>
            </w:r>
          </w:p>
        </w:tc>
        <w:tc>
          <w:tcPr>
            <w:tcW w:w="721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840" w:lineRule="exact"/>
              <w:ind w:firstLine="0" w:firstLineChars="0"/>
              <w:rPr>
                <w:rFonts w:ascii="仿宋_GB2312" w:hAnsi="Calibri" w:eastAsia="宋体"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744" w:type="dxa"/>
            <w:tcBorders>
              <w:top w:val="single" w:color="auto" w:sz="4" w:space="0"/>
              <w:left w:val="single" w:color="auto" w:sz="4" w:space="0"/>
              <w:bottom w:val="single" w:color="auto" w:sz="4" w:space="0"/>
              <w:right w:val="single" w:color="auto" w:sz="4" w:space="0"/>
            </w:tcBorders>
          </w:tcPr>
          <w:p>
            <w:pPr>
              <w:spacing w:line="288" w:lineRule="auto"/>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检查组组长</w:t>
            </w:r>
          </w:p>
        </w:tc>
        <w:tc>
          <w:tcPr>
            <w:tcW w:w="3901"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rPr>
                <w:rFonts w:ascii="仿宋_GB2312" w:hAnsi="Calibri" w:eastAsia="宋体" w:cs="Times New Roman"/>
                <w:b w:val="0"/>
                <w:bCs/>
                <w:sz w:val="24"/>
                <w:szCs w:val="24"/>
              </w:rPr>
            </w:pPr>
          </w:p>
        </w:tc>
        <w:tc>
          <w:tcPr>
            <w:tcW w:w="1399"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rPr>
                <w:rFonts w:ascii="仿宋_GB2312" w:hAnsi="Calibri" w:eastAsia="宋体" w:cs="Times New Roman"/>
                <w:b w:val="0"/>
                <w:bCs/>
                <w:sz w:val="24"/>
                <w:szCs w:val="24"/>
              </w:rPr>
            </w:pPr>
            <w:r>
              <w:rPr>
                <w:rFonts w:hint="eastAsia" w:ascii="Calibri" w:hAnsi="Calibri" w:eastAsia="宋体" w:cs="Times New Roman"/>
                <w:b w:val="0"/>
                <w:bCs/>
                <w:sz w:val="21"/>
                <w:szCs w:val="24"/>
              </w:rPr>
              <w:t>会谈</w:t>
            </w:r>
            <w:r>
              <w:rPr>
                <w:rFonts w:ascii="Calibri" w:hAnsi="Calibri" w:eastAsia="宋体" w:cs="Times New Roman"/>
                <w:b w:val="0"/>
                <w:bCs/>
                <w:sz w:val="21"/>
                <w:szCs w:val="24"/>
              </w:rPr>
              <w:t>日期</w:t>
            </w:r>
          </w:p>
        </w:tc>
        <w:tc>
          <w:tcPr>
            <w:tcW w:w="1914"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rPr>
                <w:rFonts w:ascii="仿宋_GB2312" w:hAnsi="Calibri" w:eastAsia="宋体"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744" w:type="dxa"/>
            <w:tcBorders>
              <w:top w:val="single" w:color="auto" w:sz="4" w:space="0"/>
              <w:left w:val="single" w:color="auto" w:sz="4" w:space="0"/>
              <w:bottom w:val="single" w:color="auto" w:sz="4" w:space="0"/>
              <w:right w:val="single" w:color="auto" w:sz="4" w:space="0"/>
            </w:tcBorders>
          </w:tcPr>
          <w:p>
            <w:pPr>
              <w:spacing w:line="288" w:lineRule="auto"/>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检查组成员</w:t>
            </w:r>
          </w:p>
        </w:tc>
        <w:tc>
          <w:tcPr>
            <w:tcW w:w="7214"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744" w:type="dxa"/>
            <w:tcBorders>
              <w:top w:val="single" w:color="auto" w:sz="4" w:space="0"/>
              <w:left w:val="single" w:color="auto" w:sz="4" w:space="0"/>
              <w:bottom w:val="single" w:color="auto" w:sz="4" w:space="0"/>
              <w:right w:val="single" w:color="auto" w:sz="4" w:space="0"/>
            </w:tcBorders>
          </w:tcPr>
          <w:p>
            <w:pPr>
              <w:spacing w:line="288" w:lineRule="auto"/>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被检查对象</w:t>
            </w:r>
          </w:p>
          <w:p>
            <w:pPr>
              <w:spacing w:line="288" w:lineRule="auto"/>
              <w:ind w:firstLine="0" w:firstLineChars="0"/>
              <w:jc w:val="center"/>
              <w:rPr>
                <w:rFonts w:ascii="仿宋_GB2312" w:hAnsi="宋体" w:eastAsia="宋体" w:cs="Times New Roman"/>
                <w:b w:val="0"/>
                <w:bCs/>
                <w:sz w:val="24"/>
                <w:szCs w:val="24"/>
              </w:rPr>
            </w:pPr>
            <w:r>
              <w:rPr>
                <w:rFonts w:hint="eastAsia" w:ascii="Calibri" w:hAnsi="Calibri" w:eastAsia="宋体" w:cs="Times New Roman"/>
                <w:b w:val="0"/>
                <w:bCs/>
                <w:sz w:val="21"/>
                <w:szCs w:val="24"/>
              </w:rPr>
              <w:t>参加会谈人员</w:t>
            </w:r>
          </w:p>
        </w:tc>
        <w:tc>
          <w:tcPr>
            <w:tcW w:w="3901" w:type="dxa"/>
            <w:tcBorders>
              <w:top w:val="single" w:color="auto" w:sz="4" w:space="0"/>
              <w:left w:val="single" w:color="auto" w:sz="4" w:space="0"/>
              <w:bottom w:val="single" w:color="auto" w:sz="4" w:space="0"/>
              <w:right w:val="single" w:color="auto" w:sz="4" w:space="0"/>
            </w:tcBorders>
          </w:tcPr>
          <w:p>
            <w:pPr>
              <w:spacing w:line="240" w:lineRule="atLeast"/>
              <w:ind w:firstLine="0" w:firstLineChars="0"/>
              <w:rPr>
                <w:rFonts w:ascii="仿宋_GB2312" w:hAnsi="宋体" w:eastAsia="宋体" w:cs="Times New Roman"/>
                <w:b w:val="0"/>
                <w:bCs/>
                <w:sz w:val="24"/>
                <w:szCs w:val="24"/>
              </w:rPr>
            </w:pPr>
            <w:r>
              <w:rPr>
                <w:rFonts w:hint="eastAsia" w:ascii="仿宋_GB2312" w:hAnsi="宋体" w:eastAsia="宋体" w:cs="Times New Roman"/>
                <w:b w:val="0"/>
                <w:bCs/>
                <w:sz w:val="24"/>
                <w:szCs w:val="24"/>
              </w:rPr>
              <w:t xml:space="preserve">                           </w:t>
            </w:r>
          </w:p>
        </w:tc>
        <w:tc>
          <w:tcPr>
            <w:tcW w:w="1399"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仿宋_GB2312" w:hAnsi="宋体" w:eastAsia="宋体" w:cs="Times New Roman"/>
                <w:b w:val="0"/>
                <w:bCs/>
                <w:sz w:val="24"/>
                <w:szCs w:val="24"/>
              </w:rPr>
            </w:pPr>
            <w:r>
              <w:rPr>
                <w:rFonts w:hint="eastAsia" w:ascii="Calibri" w:hAnsi="Calibri" w:eastAsia="宋体" w:cs="Times New Roman"/>
                <w:b w:val="0"/>
                <w:bCs/>
                <w:sz w:val="21"/>
                <w:szCs w:val="24"/>
              </w:rPr>
              <w:t>记录员</w:t>
            </w:r>
          </w:p>
        </w:tc>
        <w:tc>
          <w:tcPr>
            <w:tcW w:w="1914" w:type="dxa"/>
            <w:tcBorders>
              <w:top w:val="single" w:color="auto" w:sz="4" w:space="0"/>
              <w:left w:val="single" w:color="auto" w:sz="4" w:space="0"/>
              <w:bottom w:val="single" w:color="auto" w:sz="4" w:space="0"/>
              <w:right w:val="single" w:color="auto" w:sz="4" w:space="0"/>
            </w:tcBorders>
          </w:tcPr>
          <w:p>
            <w:pPr>
              <w:spacing w:line="240" w:lineRule="atLeast"/>
              <w:ind w:firstLine="0" w:firstLineChars="0"/>
              <w:rPr>
                <w:rFonts w:ascii="仿宋_GB2312" w:hAnsi="宋体" w:eastAsia="宋体"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5" w:hRule="atLeast"/>
          <w:jc w:val="center"/>
        </w:trPr>
        <w:tc>
          <w:tcPr>
            <w:tcW w:w="8958" w:type="dxa"/>
            <w:gridSpan w:val="4"/>
            <w:tcBorders>
              <w:top w:val="single" w:color="auto" w:sz="4" w:space="0"/>
              <w:left w:val="single" w:color="auto" w:sz="4" w:space="0"/>
              <w:bottom w:val="single" w:color="auto" w:sz="4" w:space="0"/>
              <w:right w:val="single" w:color="auto" w:sz="4" w:space="0"/>
            </w:tcBorders>
          </w:tcPr>
          <w:p>
            <w:pPr>
              <w:spacing w:line="580" w:lineRule="exact"/>
              <w:ind w:firstLine="0" w:firstLineChars="0"/>
              <w:rPr>
                <w:rFonts w:ascii="Calibri" w:hAnsi="Calibri" w:eastAsia="宋体" w:cs="Times New Roman"/>
                <w:b w:val="0"/>
                <w:bCs/>
                <w:sz w:val="24"/>
                <w:szCs w:val="24"/>
              </w:rPr>
            </w:pPr>
            <w:r>
              <w:rPr>
                <w:rFonts w:hint="eastAsia" w:ascii="Calibri" w:hAnsi="Calibri" w:eastAsia="宋体" w:cs="Times New Roman"/>
                <w:b w:val="0"/>
                <w:bCs/>
                <w:sz w:val="24"/>
                <w:szCs w:val="24"/>
              </w:rPr>
              <w:t>会谈内容：</w:t>
            </w:r>
          </w:p>
          <w:p>
            <w:pPr>
              <w:spacing w:line="240" w:lineRule="atLeast"/>
              <w:ind w:firstLine="0" w:firstLineChars="0"/>
              <w:rPr>
                <w:rFonts w:ascii="Calibri" w:hAnsi="Calibri" w:eastAsia="宋体" w:cs="Times New Roman"/>
                <w:b w:val="0"/>
                <w:bCs/>
                <w:sz w:val="24"/>
                <w:szCs w:val="24"/>
              </w:rPr>
            </w:pPr>
          </w:p>
        </w:tc>
      </w:tr>
    </w:tbl>
    <w:p>
      <w:pPr>
        <w:wordWrap w:val="0"/>
        <w:spacing w:line="240" w:lineRule="auto"/>
        <w:ind w:right="105" w:firstLine="0" w:firstLineChars="0"/>
        <w:rPr>
          <w:rFonts w:ascii="仿宋_GB2312" w:hAnsi="Calibri" w:cs="Times New Roman"/>
          <w:b w:val="0"/>
          <w:bCs/>
          <w:szCs w:val="32"/>
        </w:rPr>
      </w:pPr>
      <w:r>
        <w:rPr>
          <w:rFonts w:hint="eastAsia" w:ascii="Calibri" w:hAnsi="Calibri" w:eastAsia="宋体" w:cs="Times New Roman"/>
          <w:b w:val="0"/>
          <w:bCs/>
          <w:sz w:val="21"/>
          <w:szCs w:val="24"/>
        </w:rPr>
        <w:t xml:space="preserve"> </w:t>
      </w:r>
      <w:r>
        <w:rPr>
          <w:rFonts w:hint="eastAsia" w:ascii="仿宋_GB2312" w:hAnsi="Calibri" w:cs="Times New Roman"/>
          <w:b w:val="0"/>
          <w:bCs/>
          <w:szCs w:val="32"/>
        </w:rPr>
        <w:t>附件3</w:t>
      </w:r>
    </w:p>
    <w:p>
      <w:pPr>
        <w:spacing w:line="600" w:lineRule="exact"/>
        <w:ind w:firstLine="0" w:firstLineChars="0"/>
        <w:jc w:val="center"/>
        <w:rPr>
          <w:rFonts w:ascii="创艺简" w:hAnsi="创艺简" w:eastAsia="创艺简" w:cs="创艺简"/>
          <w:b w:val="0"/>
          <w:bCs/>
          <w:szCs w:val="32"/>
        </w:rPr>
      </w:pPr>
      <w:r>
        <w:rPr>
          <w:rFonts w:hint="eastAsia" w:ascii="创艺简" w:hAnsi="创艺简" w:eastAsia="创艺简" w:cs="创艺简"/>
          <w:b w:val="0"/>
          <w:bCs/>
          <w:szCs w:val="32"/>
        </w:rPr>
        <w:t>现场检查工作底稿</w:t>
      </w:r>
    </w:p>
    <w:p>
      <w:pPr>
        <w:spacing w:line="360" w:lineRule="auto"/>
        <w:ind w:left="-547" w:firstLine="630" w:firstLineChars="0"/>
        <w:rPr>
          <w:rFonts w:ascii="Calibri" w:hAnsi="Calibri" w:eastAsia="宋体" w:cs="Times New Roman"/>
          <w:b w:val="0"/>
          <w:bCs/>
          <w:sz w:val="21"/>
          <w:szCs w:val="24"/>
        </w:rPr>
      </w:pPr>
      <w:r>
        <w:rPr>
          <w:rFonts w:hint="eastAsia" w:ascii="Calibri" w:hAnsi="Calibri" w:eastAsia="宋体" w:cs="Times New Roman"/>
          <w:b w:val="0"/>
          <w:bCs/>
          <w:sz w:val="21"/>
          <w:szCs w:val="24"/>
        </w:rPr>
        <w:t>编</w:t>
      </w:r>
      <w:r>
        <w:rPr>
          <w:rFonts w:ascii="Calibri" w:hAnsi="Calibri" w:eastAsia="宋体" w:cs="Times New Roman"/>
          <w:b w:val="0"/>
          <w:bCs/>
          <w:sz w:val="21"/>
          <w:szCs w:val="24"/>
        </w:rPr>
        <w:t xml:space="preserve">号：                                </w:t>
      </w:r>
      <w:r>
        <w:rPr>
          <w:rFonts w:hint="eastAsia" w:ascii="Calibri" w:hAnsi="Calibri" w:eastAsia="宋体" w:cs="Times New Roman"/>
          <w:b w:val="0"/>
          <w:bCs/>
          <w:sz w:val="21"/>
          <w:szCs w:val="24"/>
        </w:rPr>
        <w:t xml:space="preserve">               </w:t>
      </w:r>
      <w:r>
        <w:rPr>
          <w:rFonts w:ascii="Calibri" w:hAnsi="Calibri" w:eastAsia="宋体" w:cs="Times New Roman"/>
          <w:b w:val="0"/>
          <w:bCs/>
          <w:sz w:val="21"/>
          <w:szCs w:val="24"/>
        </w:rPr>
        <w:t>第    页（共    页）</w:t>
      </w:r>
    </w:p>
    <w:tbl>
      <w:tblPr>
        <w:tblStyle w:val="4"/>
        <w:tblW w:w="8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696"/>
        <w:gridCol w:w="2029"/>
        <w:gridCol w:w="1155"/>
        <w:gridCol w:w="1035"/>
        <w:gridCol w:w="1155"/>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339"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被检查对象</w:t>
            </w:r>
            <w:r>
              <w:rPr>
                <w:rFonts w:ascii="Calibri" w:hAnsi="Calibri" w:eastAsia="宋体" w:cs="Times New Roman"/>
                <w:b w:val="0"/>
                <w:bCs/>
                <w:sz w:val="21"/>
                <w:szCs w:val="24"/>
              </w:rPr>
              <w:t>名称</w:t>
            </w:r>
          </w:p>
        </w:tc>
        <w:tc>
          <w:tcPr>
            <w:tcW w:w="6396" w:type="dxa"/>
            <w:gridSpan w:val="5"/>
            <w:tcBorders>
              <w:top w:val="single" w:color="auto" w:sz="4" w:space="0"/>
              <w:left w:val="single" w:color="auto" w:sz="4" w:space="0"/>
              <w:bottom w:val="single" w:color="auto" w:sz="4" w:space="0"/>
              <w:right w:val="single" w:color="auto" w:sz="4" w:space="0"/>
            </w:tcBorders>
            <w:vAlign w:val="center"/>
          </w:tcPr>
          <w:p>
            <w:pPr>
              <w:snapToGrid w:val="0"/>
              <w:spacing w:line="840" w:lineRule="exact"/>
              <w:ind w:firstLine="0" w:firstLineChars="0"/>
              <w:rPr>
                <w:rFonts w:ascii="仿宋_GB2312" w:hAnsi="Calibri" w:eastAsia="宋体"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339" w:type="dxa"/>
            <w:gridSpan w:val="2"/>
            <w:tcBorders>
              <w:top w:val="single" w:color="auto" w:sz="4" w:space="0"/>
              <w:left w:val="single" w:color="auto" w:sz="4" w:space="0"/>
              <w:bottom w:val="single" w:color="auto" w:sz="4" w:space="0"/>
              <w:right w:val="single" w:color="auto" w:sz="4" w:space="0"/>
            </w:tcBorders>
          </w:tcPr>
          <w:p>
            <w:pPr>
              <w:spacing w:line="288" w:lineRule="auto"/>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检查人员</w:t>
            </w:r>
          </w:p>
        </w:tc>
        <w:tc>
          <w:tcPr>
            <w:tcW w:w="2029"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复核人员</w:t>
            </w:r>
          </w:p>
        </w:tc>
        <w:tc>
          <w:tcPr>
            <w:tcW w:w="1035"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主查人</w:t>
            </w:r>
          </w:p>
        </w:tc>
        <w:tc>
          <w:tcPr>
            <w:tcW w:w="1022"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339" w:type="dxa"/>
            <w:gridSpan w:val="2"/>
            <w:tcBorders>
              <w:top w:val="single" w:color="auto" w:sz="4" w:space="0"/>
              <w:left w:val="single" w:color="auto" w:sz="4" w:space="0"/>
              <w:bottom w:val="single" w:color="auto" w:sz="4" w:space="0"/>
              <w:right w:val="single" w:color="auto" w:sz="4" w:space="0"/>
            </w:tcBorders>
          </w:tcPr>
          <w:p>
            <w:pPr>
              <w:spacing w:line="288" w:lineRule="auto"/>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检查组组长</w:t>
            </w:r>
          </w:p>
        </w:tc>
        <w:tc>
          <w:tcPr>
            <w:tcW w:w="2029"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p>
        </w:tc>
        <w:tc>
          <w:tcPr>
            <w:tcW w:w="2190"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检查</w:t>
            </w:r>
            <w:r>
              <w:rPr>
                <w:rFonts w:ascii="Calibri" w:hAnsi="Calibri" w:eastAsia="宋体" w:cs="Times New Roman"/>
                <w:b w:val="0"/>
                <w:bCs/>
                <w:sz w:val="21"/>
                <w:szCs w:val="24"/>
              </w:rPr>
              <w:t>日期</w:t>
            </w:r>
          </w:p>
        </w:tc>
        <w:tc>
          <w:tcPr>
            <w:tcW w:w="2177"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6" w:hRule="atLeast"/>
          <w:jc w:val="center"/>
        </w:trPr>
        <w:tc>
          <w:tcPr>
            <w:tcW w:w="8735" w:type="dxa"/>
            <w:gridSpan w:val="7"/>
            <w:tcBorders>
              <w:top w:val="single" w:color="auto" w:sz="4" w:space="0"/>
              <w:left w:val="single" w:color="auto" w:sz="4" w:space="0"/>
              <w:bottom w:val="single" w:color="auto" w:sz="4" w:space="0"/>
              <w:right w:val="single" w:color="auto" w:sz="4" w:space="0"/>
            </w:tcBorders>
          </w:tcPr>
          <w:p>
            <w:pPr>
              <w:spacing w:line="580" w:lineRule="exact"/>
              <w:ind w:firstLine="0" w:firstLineChars="0"/>
              <w:rPr>
                <w:rFonts w:ascii="Calibri" w:hAnsi="Calibri" w:eastAsia="宋体" w:cs="Times New Roman"/>
                <w:b w:val="0"/>
                <w:bCs/>
                <w:sz w:val="24"/>
                <w:szCs w:val="24"/>
              </w:rPr>
            </w:pPr>
            <w:r>
              <w:rPr>
                <w:rFonts w:hint="eastAsia" w:ascii="Calibri" w:hAnsi="Calibri" w:eastAsia="宋体" w:cs="Times New Roman"/>
                <w:b w:val="0"/>
                <w:bCs/>
                <w:sz w:val="24"/>
                <w:szCs w:val="24"/>
              </w:rPr>
              <w:t>检查内容和资料清单</w:t>
            </w:r>
            <w:r>
              <w:rPr>
                <w:rFonts w:ascii="Calibri" w:hAnsi="Calibri" w:eastAsia="宋体" w:cs="Times New Roman"/>
                <w:b w:val="0"/>
                <w:bCs/>
                <w:sz w:val="24"/>
                <w:szCs w:val="24"/>
              </w:rPr>
              <w:t>：</w:t>
            </w:r>
          </w:p>
          <w:p>
            <w:pPr>
              <w:spacing w:line="288" w:lineRule="auto"/>
              <w:ind w:firstLine="360" w:firstLineChars="150"/>
              <w:rPr>
                <w:rFonts w:ascii="仿宋_GB2312" w:hAnsi="宋体" w:eastAsia="宋体"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2" w:hRule="atLeast"/>
          <w:jc w:val="center"/>
        </w:trPr>
        <w:tc>
          <w:tcPr>
            <w:tcW w:w="8735" w:type="dxa"/>
            <w:gridSpan w:val="7"/>
            <w:tcBorders>
              <w:top w:val="single" w:color="auto" w:sz="4" w:space="0"/>
              <w:left w:val="single" w:color="auto" w:sz="4" w:space="0"/>
              <w:bottom w:val="single" w:color="auto" w:sz="4" w:space="0"/>
              <w:right w:val="single" w:color="auto" w:sz="4" w:space="0"/>
            </w:tcBorders>
          </w:tcPr>
          <w:p>
            <w:pPr>
              <w:spacing w:line="288" w:lineRule="auto"/>
              <w:ind w:firstLine="0" w:firstLineChars="0"/>
              <w:rPr>
                <w:rFonts w:ascii="仿宋_GB2312" w:hAnsi="宋体" w:eastAsia="宋体" w:cs="Times New Roman"/>
                <w:b w:val="0"/>
                <w:bCs/>
                <w:sz w:val="24"/>
                <w:szCs w:val="24"/>
              </w:rPr>
            </w:pPr>
            <w:r>
              <w:rPr>
                <w:rFonts w:hint="eastAsia" w:ascii="仿宋_GB2312" w:hAnsi="宋体" w:eastAsia="宋体" w:cs="Times New Roman"/>
                <w:b w:val="0"/>
                <w:bCs/>
                <w:sz w:val="24"/>
                <w:szCs w:val="24"/>
              </w:rPr>
              <w:t>检查发现情况：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jc w:val="center"/>
        </w:trPr>
        <w:tc>
          <w:tcPr>
            <w:tcW w:w="8735" w:type="dxa"/>
            <w:gridSpan w:val="7"/>
            <w:tcBorders>
              <w:top w:val="single" w:color="auto" w:sz="4" w:space="0"/>
              <w:left w:val="single" w:color="auto" w:sz="4" w:space="0"/>
              <w:bottom w:val="single" w:color="auto" w:sz="4" w:space="0"/>
              <w:right w:val="single" w:color="auto" w:sz="4" w:space="0"/>
            </w:tcBorders>
          </w:tcPr>
          <w:p>
            <w:pPr>
              <w:spacing w:line="288" w:lineRule="auto"/>
              <w:ind w:firstLine="0" w:firstLineChars="0"/>
              <w:rPr>
                <w:rFonts w:ascii="仿宋_GB2312" w:hAnsi="宋体" w:eastAsia="宋体" w:cs="Times New Roman"/>
                <w:b w:val="0"/>
                <w:bCs/>
                <w:sz w:val="24"/>
                <w:szCs w:val="24"/>
              </w:rPr>
            </w:pPr>
            <w:r>
              <w:rPr>
                <w:rFonts w:hint="eastAsia" w:ascii="仿宋_GB2312" w:hAnsi="宋体" w:eastAsia="宋体" w:cs="Times New Roman"/>
                <w:b w:val="0"/>
                <w:bCs/>
                <w:sz w:val="24"/>
                <w:szCs w:val="24"/>
              </w:rPr>
              <w:t>检查</w:t>
            </w:r>
            <w:r>
              <w:rPr>
                <w:rFonts w:ascii="仿宋_GB2312" w:hAnsi="宋体" w:eastAsia="宋体" w:cs="Times New Roman"/>
                <w:b w:val="0"/>
                <w:bCs/>
                <w:sz w:val="24"/>
                <w:szCs w:val="24"/>
              </w:rPr>
              <w:t>意见：</w:t>
            </w:r>
          </w:p>
          <w:p>
            <w:pPr>
              <w:spacing w:line="240" w:lineRule="atLeast"/>
              <w:ind w:firstLine="0" w:firstLineChars="0"/>
              <w:rPr>
                <w:rFonts w:ascii="Calibri" w:hAnsi="Calibri" w:eastAsia="宋体" w:cs="Times New Roman"/>
                <w:b w:val="0"/>
                <w:bCs/>
                <w:sz w:val="21"/>
                <w:szCs w:val="24"/>
              </w:rPr>
            </w:pPr>
          </w:p>
          <w:p>
            <w:pPr>
              <w:spacing w:line="580" w:lineRule="exact"/>
              <w:ind w:firstLine="420" w:firstLineChars="0"/>
              <w:rPr>
                <w:rFonts w:ascii="Calibri" w:hAnsi="Calibri" w:eastAsia="宋体" w:cs="Times New Roman"/>
                <w:b w:val="0"/>
                <w:bCs/>
                <w:i/>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643"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附件名称</w:t>
            </w:r>
          </w:p>
        </w:tc>
        <w:tc>
          <w:tcPr>
            <w:tcW w:w="2725" w:type="dxa"/>
            <w:gridSpan w:val="2"/>
            <w:tcBorders>
              <w:top w:val="single" w:color="auto" w:sz="4" w:space="0"/>
              <w:left w:val="single" w:color="auto" w:sz="4" w:space="0"/>
              <w:bottom w:val="single" w:color="auto" w:sz="4" w:space="0"/>
              <w:right w:val="single" w:color="auto" w:sz="4" w:space="0"/>
            </w:tcBorders>
          </w:tcPr>
          <w:p>
            <w:pPr>
              <w:spacing w:line="240" w:lineRule="atLeast"/>
              <w:ind w:firstLine="0" w:firstLineChars="0"/>
              <w:rPr>
                <w:rFonts w:ascii="Calibri" w:hAnsi="Calibri" w:eastAsia="宋体" w:cs="Times New Roman"/>
                <w:b w:val="0"/>
                <w:bCs/>
                <w:sz w:val="21"/>
                <w:szCs w:val="24"/>
              </w:rPr>
            </w:pPr>
          </w:p>
        </w:tc>
        <w:tc>
          <w:tcPr>
            <w:tcW w:w="219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附件页数</w:t>
            </w:r>
          </w:p>
        </w:tc>
        <w:tc>
          <w:tcPr>
            <w:tcW w:w="2177" w:type="dxa"/>
            <w:gridSpan w:val="2"/>
            <w:tcBorders>
              <w:top w:val="single" w:color="auto" w:sz="4" w:space="0"/>
              <w:left w:val="single" w:color="auto" w:sz="4" w:space="0"/>
              <w:bottom w:val="single" w:color="auto" w:sz="4" w:space="0"/>
              <w:right w:val="single" w:color="auto" w:sz="4" w:space="0"/>
            </w:tcBorders>
          </w:tcPr>
          <w:p>
            <w:pPr>
              <w:spacing w:line="240" w:lineRule="atLeast"/>
              <w:ind w:firstLine="0" w:firstLineChars="0"/>
              <w:rPr>
                <w:rFonts w:ascii="Calibri" w:hAnsi="Calibri" w:eastAsia="宋体" w:cs="Times New Roman"/>
                <w:b w:val="0"/>
                <w:bCs/>
                <w:sz w:val="21"/>
                <w:szCs w:val="24"/>
              </w:rPr>
            </w:pPr>
          </w:p>
        </w:tc>
      </w:tr>
    </w:tbl>
    <w:tbl>
      <w:tblPr>
        <w:tblStyle w:val="5"/>
        <w:tblpPr w:leftFromText="180" w:rightFromText="180" w:vertAnchor="text" w:tblpX="10214" w:tblpY="-9296"/>
        <w:tblOverlap w:val="never"/>
        <w:tblW w:w="1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503" w:type="dxa"/>
          </w:tcPr>
          <w:p>
            <w:pPr>
              <w:wordWrap w:val="0"/>
              <w:spacing w:line="240" w:lineRule="auto"/>
              <w:ind w:right="105" w:firstLine="420"/>
              <w:jc w:val="right"/>
              <w:rPr>
                <w:rFonts w:ascii="Calibri" w:hAnsi="Calibri" w:eastAsia="宋体" w:cs="Times New Roman"/>
                <w:b w:val="0"/>
                <w:bCs/>
                <w:sz w:val="21"/>
                <w:szCs w:val="24"/>
              </w:rPr>
            </w:pPr>
          </w:p>
        </w:tc>
      </w:tr>
    </w:tbl>
    <w:tbl>
      <w:tblPr>
        <w:tblStyle w:val="5"/>
        <w:tblpPr w:leftFromText="180" w:rightFromText="180" w:vertAnchor="text" w:tblpX="10214" w:tblpY="-9476"/>
        <w:tblOverlap w:val="never"/>
        <w:tblW w:w="2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223" w:type="dxa"/>
          </w:tcPr>
          <w:p>
            <w:pPr>
              <w:wordWrap w:val="0"/>
              <w:spacing w:line="240" w:lineRule="auto"/>
              <w:ind w:right="105" w:firstLine="420"/>
              <w:jc w:val="right"/>
              <w:rPr>
                <w:rFonts w:ascii="Calibri" w:hAnsi="Calibri" w:eastAsia="宋体" w:cs="Times New Roman"/>
                <w:b w:val="0"/>
                <w:bCs/>
                <w:sz w:val="21"/>
                <w:szCs w:val="24"/>
              </w:rPr>
            </w:pPr>
          </w:p>
        </w:tc>
      </w:tr>
    </w:tbl>
    <w:p>
      <w:pPr>
        <w:wordWrap w:val="0"/>
        <w:spacing w:line="240" w:lineRule="auto"/>
        <w:ind w:right="105" w:firstLine="0" w:firstLineChars="0"/>
        <w:jc w:val="right"/>
        <w:rPr>
          <w:rFonts w:ascii="Calibri" w:hAnsi="Calibri" w:eastAsia="宋体" w:cs="Times New Roman"/>
          <w:b w:val="0"/>
          <w:bCs/>
          <w:sz w:val="21"/>
          <w:szCs w:val="24"/>
        </w:rPr>
      </w:pPr>
      <w:r>
        <w:rPr>
          <w:rFonts w:hint="eastAsia" w:ascii="Calibri" w:hAnsi="Calibri" w:eastAsia="宋体" w:cs="Times New Roman"/>
          <w:b w:val="0"/>
          <w:bCs/>
          <w:sz w:val="21"/>
          <w:szCs w:val="24"/>
        </w:rPr>
        <w:t xml:space="preserve"> </w:t>
      </w:r>
    </w:p>
    <w:p>
      <w:pPr>
        <w:spacing w:line="240" w:lineRule="auto"/>
        <w:ind w:firstLine="0" w:firstLineChars="0"/>
        <w:rPr>
          <w:rFonts w:ascii="仿宋_GB2312" w:hAnsi="Calibri" w:cs="Times New Roman"/>
          <w:b w:val="0"/>
          <w:bCs/>
          <w:szCs w:val="32"/>
        </w:rPr>
      </w:pPr>
      <w:r>
        <w:rPr>
          <w:rFonts w:hint="eastAsia" w:ascii="仿宋_GB2312" w:hAnsi="Calibri" w:cs="Times New Roman"/>
          <w:b w:val="0"/>
          <w:bCs/>
          <w:szCs w:val="32"/>
        </w:rPr>
        <w:t>附件4</w:t>
      </w:r>
    </w:p>
    <w:p>
      <w:pPr>
        <w:spacing w:line="600" w:lineRule="exact"/>
        <w:ind w:firstLine="0" w:firstLineChars="0"/>
        <w:jc w:val="center"/>
        <w:rPr>
          <w:rFonts w:ascii="创艺简" w:hAnsi="创艺简" w:eastAsia="创艺简" w:cs="创艺简"/>
          <w:b w:val="0"/>
          <w:bCs/>
          <w:szCs w:val="32"/>
        </w:rPr>
      </w:pPr>
      <w:r>
        <w:rPr>
          <w:rFonts w:hint="eastAsia" w:ascii="创艺简" w:hAnsi="创艺简" w:eastAsia="创艺简" w:cs="创艺简"/>
          <w:b w:val="0"/>
          <w:bCs/>
          <w:szCs w:val="32"/>
        </w:rPr>
        <w:t>现场检查询问笔录</w:t>
      </w:r>
    </w:p>
    <w:p>
      <w:pPr>
        <w:spacing w:line="360" w:lineRule="auto"/>
        <w:ind w:left="-547" w:firstLine="630" w:firstLineChars="0"/>
        <w:rPr>
          <w:rFonts w:ascii="Calibri" w:hAnsi="Calibri" w:eastAsia="宋体" w:cs="Times New Roman"/>
          <w:b w:val="0"/>
          <w:bCs/>
          <w:sz w:val="21"/>
          <w:szCs w:val="24"/>
        </w:rPr>
      </w:pPr>
      <w:r>
        <w:rPr>
          <w:rFonts w:hint="eastAsia" w:ascii="Calibri" w:hAnsi="Calibri" w:eastAsia="宋体" w:cs="Times New Roman"/>
          <w:b w:val="0"/>
          <w:bCs/>
          <w:sz w:val="21"/>
          <w:szCs w:val="24"/>
        </w:rPr>
        <w:t>编</w:t>
      </w:r>
      <w:r>
        <w:rPr>
          <w:rFonts w:ascii="Calibri" w:hAnsi="Calibri" w:eastAsia="宋体" w:cs="Times New Roman"/>
          <w:b w:val="0"/>
          <w:bCs/>
          <w:sz w:val="21"/>
          <w:szCs w:val="24"/>
        </w:rPr>
        <w:t xml:space="preserve">号：                                </w:t>
      </w:r>
      <w:r>
        <w:rPr>
          <w:rFonts w:hint="eastAsia" w:ascii="Calibri" w:hAnsi="Calibri" w:eastAsia="宋体" w:cs="Times New Roman"/>
          <w:b w:val="0"/>
          <w:bCs/>
          <w:sz w:val="21"/>
          <w:szCs w:val="24"/>
        </w:rPr>
        <w:t xml:space="preserve">               </w:t>
      </w:r>
      <w:r>
        <w:rPr>
          <w:rFonts w:ascii="Calibri" w:hAnsi="Calibri" w:eastAsia="宋体" w:cs="Times New Roman"/>
          <w:b w:val="0"/>
          <w:bCs/>
          <w:sz w:val="21"/>
          <w:szCs w:val="24"/>
        </w:rPr>
        <w:t>第    页（共    页）</w:t>
      </w:r>
    </w:p>
    <w:tbl>
      <w:tblPr>
        <w:tblStyle w:val="4"/>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2850"/>
        <w:gridCol w:w="1599"/>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336"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仿宋_GB2312" w:hAnsi="宋体" w:eastAsia="宋体" w:cs="Times New Roman"/>
                <w:b w:val="0"/>
                <w:bCs/>
                <w:sz w:val="21"/>
                <w:szCs w:val="21"/>
              </w:rPr>
            </w:pPr>
            <w:r>
              <w:rPr>
                <w:rFonts w:hint="eastAsia" w:ascii="仿宋_GB2312" w:hAnsi="宋体" w:eastAsia="宋体" w:cs="Times New Roman"/>
                <w:b w:val="0"/>
                <w:bCs/>
                <w:sz w:val="21"/>
                <w:szCs w:val="21"/>
              </w:rPr>
              <w:t>被检查对象</w:t>
            </w:r>
            <w:r>
              <w:rPr>
                <w:rFonts w:ascii="仿宋_GB2312" w:hAnsi="宋体" w:eastAsia="宋体" w:cs="Times New Roman"/>
                <w:b w:val="0"/>
                <w:bCs/>
                <w:sz w:val="21"/>
                <w:szCs w:val="21"/>
              </w:rPr>
              <w:t>名称</w:t>
            </w:r>
          </w:p>
        </w:tc>
        <w:tc>
          <w:tcPr>
            <w:tcW w:w="678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840" w:lineRule="exact"/>
              <w:ind w:firstLine="0" w:firstLineChars="0"/>
              <w:rPr>
                <w:rFonts w:ascii="仿宋_GB2312" w:hAnsi="宋体"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336"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仿宋_GB2312" w:hAnsi="宋体" w:eastAsia="宋体" w:cs="Times New Roman"/>
                <w:b w:val="0"/>
                <w:bCs/>
                <w:sz w:val="21"/>
                <w:szCs w:val="21"/>
              </w:rPr>
            </w:pPr>
            <w:r>
              <w:rPr>
                <w:rFonts w:hint="eastAsia" w:ascii="仿宋_GB2312" w:hAnsi="宋体" w:eastAsia="宋体" w:cs="Times New Roman"/>
                <w:b w:val="0"/>
                <w:bCs/>
                <w:sz w:val="21"/>
                <w:szCs w:val="21"/>
              </w:rPr>
              <w:t>询问人员</w:t>
            </w:r>
          </w:p>
        </w:tc>
        <w:tc>
          <w:tcPr>
            <w:tcW w:w="2850"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rPr>
                <w:rFonts w:ascii="仿宋_GB2312" w:hAnsi="宋体" w:eastAsia="宋体" w:cs="Times New Roman"/>
                <w:b w:val="0"/>
                <w:bCs/>
                <w:sz w:val="21"/>
                <w:szCs w:val="21"/>
              </w:rPr>
            </w:pPr>
          </w:p>
        </w:tc>
        <w:tc>
          <w:tcPr>
            <w:tcW w:w="1599"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仿宋_GB2312" w:hAnsi="宋体" w:eastAsia="宋体" w:cs="Times New Roman"/>
                <w:b w:val="0"/>
                <w:bCs/>
                <w:sz w:val="21"/>
                <w:szCs w:val="21"/>
              </w:rPr>
            </w:pPr>
            <w:r>
              <w:rPr>
                <w:rFonts w:hint="eastAsia" w:ascii="仿宋_GB2312" w:hAnsi="宋体" w:eastAsia="宋体" w:cs="Times New Roman"/>
                <w:b w:val="0"/>
                <w:bCs/>
                <w:sz w:val="21"/>
                <w:szCs w:val="21"/>
              </w:rPr>
              <w:t>被询问人</w:t>
            </w:r>
          </w:p>
        </w:tc>
        <w:tc>
          <w:tcPr>
            <w:tcW w:w="2332"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rPr>
                <w:rFonts w:ascii="仿宋_GB2312" w:hAnsi="宋体"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336"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仿宋_GB2312" w:hAnsi="宋体" w:eastAsia="宋体" w:cs="Times New Roman"/>
                <w:b w:val="0"/>
                <w:bCs/>
                <w:sz w:val="21"/>
                <w:szCs w:val="21"/>
              </w:rPr>
            </w:pPr>
            <w:r>
              <w:rPr>
                <w:rFonts w:hint="eastAsia" w:ascii="仿宋_GB2312" w:hAnsi="宋体" w:eastAsia="宋体" w:cs="Times New Roman"/>
                <w:b w:val="0"/>
                <w:bCs/>
                <w:sz w:val="21"/>
                <w:szCs w:val="21"/>
              </w:rPr>
              <w:t>记录人</w:t>
            </w:r>
          </w:p>
        </w:tc>
        <w:tc>
          <w:tcPr>
            <w:tcW w:w="2850"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rPr>
                <w:rFonts w:ascii="仿宋_GB2312" w:hAnsi="宋体" w:eastAsia="宋体" w:cs="Times New Roman"/>
                <w:b w:val="0"/>
                <w:bCs/>
                <w:sz w:val="21"/>
                <w:szCs w:val="21"/>
              </w:rPr>
            </w:pPr>
          </w:p>
        </w:tc>
        <w:tc>
          <w:tcPr>
            <w:tcW w:w="1599"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仿宋_GB2312" w:hAnsi="宋体" w:eastAsia="宋体" w:cs="Times New Roman"/>
                <w:b w:val="0"/>
                <w:bCs/>
                <w:sz w:val="21"/>
                <w:szCs w:val="21"/>
              </w:rPr>
            </w:pPr>
            <w:r>
              <w:rPr>
                <w:rFonts w:hint="eastAsia" w:ascii="仿宋_GB2312" w:hAnsi="宋体" w:eastAsia="宋体" w:cs="Times New Roman"/>
                <w:b w:val="0"/>
                <w:bCs/>
                <w:sz w:val="21"/>
                <w:szCs w:val="21"/>
              </w:rPr>
              <w:t>询问时间</w:t>
            </w:r>
          </w:p>
        </w:tc>
        <w:tc>
          <w:tcPr>
            <w:tcW w:w="2332"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仿宋_GB2312" w:hAnsi="宋体"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3" w:hRule="atLeast"/>
          <w:jc w:val="center"/>
        </w:trPr>
        <w:tc>
          <w:tcPr>
            <w:tcW w:w="9117" w:type="dxa"/>
            <w:gridSpan w:val="4"/>
            <w:tcBorders>
              <w:top w:val="single" w:color="auto" w:sz="4" w:space="0"/>
              <w:left w:val="single" w:color="auto" w:sz="4" w:space="0"/>
              <w:right w:val="single" w:color="auto" w:sz="4" w:space="0"/>
            </w:tcBorders>
          </w:tcPr>
          <w:p>
            <w:pPr>
              <w:spacing w:line="288" w:lineRule="auto"/>
              <w:ind w:firstLine="0" w:firstLineChars="0"/>
              <w:rPr>
                <w:rFonts w:ascii="仿宋_GB2312" w:hAnsi="宋体" w:eastAsia="宋体" w:cs="Times New Roman"/>
                <w:b w:val="0"/>
                <w:bCs/>
                <w:sz w:val="24"/>
                <w:szCs w:val="24"/>
              </w:rPr>
            </w:pPr>
            <w:r>
              <w:rPr>
                <w:rFonts w:hint="eastAsia" w:ascii="仿宋_GB2312" w:hAnsi="宋体" w:eastAsia="宋体" w:cs="Times New Roman"/>
                <w:b w:val="0"/>
                <w:bCs/>
                <w:sz w:val="24"/>
                <w:szCs w:val="24"/>
              </w:rPr>
              <w:t>询问内容：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186"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firstLine="0" w:firstLineChars="0"/>
              <w:rPr>
                <w:rFonts w:ascii="Calibri" w:hAnsi="Calibri" w:eastAsia="宋体" w:cs="Times New Roman"/>
                <w:b w:val="0"/>
                <w:bCs/>
                <w:sz w:val="21"/>
                <w:szCs w:val="24"/>
              </w:rPr>
            </w:pPr>
          </w:p>
        </w:tc>
        <w:tc>
          <w:tcPr>
            <w:tcW w:w="1599"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0" w:firstLineChars="0"/>
              <w:jc w:val="center"/>
              <w:rPr>
                <w:rFonts w:ascii="仿宋_GB2312" w:hAnsi="Calibri" w:eastAsia="宋体" w:cs="Times New Roman"/>
                <w:b w:val="0"/>
                <w:bCs/>
                <w:sz w:val="21"/>
                <w:szCs w:val="21"/>
              </w:rPr>
            </w:pPr>
            <w:r>
              <w:rPr>
                <w:rFonts w:hint="eastAsia" w:ascii="仿宋_GB2312" w:hAnsi="Calibri" w:eastAsia="宋体" w:cs="Times New Roman"/>
                <w:b w:val="0"/>
                <w:bCs/>
                <w:sz w:val="21"/>
                <w:szCs w:val="21"/>
              </w:rPr>
              <w:t>被询问人员</w:t>
            </w:r>
          </w:p>
          <w:p>
            <w:pPr>
              <w:spacing w:line="240" w:lineRule="atLeast"/>
              <w:ind w:firstLine="0" w:firstLineChars="0"/>
              <w:jc w:val="center"/>
              <w:rPr>
                <w:rFonts w:ascii="仿宋_GB2312" w:hAnsi="Calibri" w:eastAsia="宋体" w:cs="Times New Roman"/>
                <w:b w:val="0"/>
                <w:bCs/>
                <w:sz w:val="21"/>
                <w:szCs w:val="21"/>
              </w:rPr>
            </w:pPr>
            <w:r>
              <w:rPr>
                <w:rFonts w:hint="eastAsia" w:ascii="仿宋_GB2312" w:hAnsi="Calibri" w:eastAsia="宋体" w:cs="Times New Roman"/>
                <w:b w:val="0"/>
                <w:bCs/>
                <w:sz w:val="21"/>
                <w:szCs w:val="21"/>
              </w:rPr>
              <w:t>签字</w:t>
            </w:r>
          </w:p>
        </w:tc>
        <w:tc>
          <w:tcPr>
            <w:tcW w:w="2332" w:type="dxa"/>
            <w:tcBorders>
              <w:top w:val="single" w:color="auto" w:sz="4" w:space="0"/>
              <w:left w:val="single" w:color="auto" w:sz="4" w:space="0"/>
              <w:bottom w:val="single" w:color="auto" w:sz="4" w:space="0"/>
              <w:right w:val="single" w:color="auto" w:sz="4" w:space="0"/>
            </w:tcBorders>
          </w:tcPr>
          <w:p>
            <w:pPr>
              <w:spacing w:line="240" w:lineRule="atLeast"/>
              <w:ind w:firstLine="0" w:firstLineChars="0"/>
              <w:rPr>
                <w:rFonts w:ascii="Calibri" w:hAnsi="Calibri" w:eastAsia="宋体" w:cs="Times New Roman"/>
                <w:b w:val="0"/>
                <w:bCs/>
                <w:sz w:val="21"/>
                <w:szCs w:val="24"/>
              </w:rPr>
            </w:pPr>
          </w:p>
        </w:tc>
      </w:tr>
    </w:tbl>
    <w:p>
      <w:pPr>
        <w:spacing w:line="600" w:lineRule="exact"/>
        <w:ind w:firstLine="0" w:firstLineChars="0"/>
        <w:rPr>
          <w:rFonts w:ascii="仿宋_GB2312" w:hAnsi="Calibri" w:cs="Times New Roman"/>
          <w:b w:val="0"/>
          <w:bCs/>
          <w:szCs w:val="32"/>
        </w:rPr>
      </w:pPr>
    </w:p>
    <w:p>
      <w:pPr>
        <w:spacing w:line="600" w:lineRule="exact"/>
        <w:ind w:firstLine="0" w:firstLineChars="0"/>
        <w:rPr>
          <w:rFonts w:ascii="仿宋_GB2312" w:hAnsi="Calibri" w:cs="Times New Roman"/>
          <w:b w:val="0"/>
          <w:bCs/>
          <w:szCs w:val="32"/>
        </w:rPr>
      </w:pPr>
      <w:r>
        <w:rPr>
          <w:rFonts w:hint="eastAsia" w:ascii="仿宋_GB2312" w:hAnsi="Calibri" w:cs="Times New Roman"/>
          <w:b w:val="0"/>
          <w:bCs/>
          <w:szCs w:val="32"/>
        </w:rPr>
        <w:t>附件5</w:t>
      </w:r>
    </w:p>
    <w:p>
      <w:pPr>
        <w:spacing w:line="600" w:lineRule="exact"/>
        <w:ind w:firstLine="0" w:firstLineChars="0"/>
        <w:jc w:val="center"/>
        <w:rPr>
          <w:rFonts w:ascii="创艺简" w:hAnsi="创艺简" w:eastAsia="创艺简" w:cs="创艺简"/>
          <w:b w:val="0"/>
          <w:bCs/>
          <w:szCs w:val="32"/>
        </w:rPr>
      </w:pPr>
      <w:r>
        <w:rPr>
          <w:rFonts w:hint="eastAsia" w:ascii="创艺简" w:hAnsi="创艺简" w:eastAsia="创艺简" w:cs="创艺简"/>
          <w:b w:val="0"/>
          <w:bCs/>
          <w:szCs w:val="32"/>
        </w:rPr>
        <w:t>现场检查事实确认书</w:t>
      </w:r>
    </w:p>
    <w:p>
      <w:pPr>
        <w:spacing w:line="360" w:lineRule="auto"/>
        <w:ind w:left="-547" w:firstLine="630" w:firstLineChars="0"/>
        <w:rPr>
          <w:rFonts w:ascii="Calibri" w:hAnsi="Calibri" w:eastAsia="宋体" w:cs="Times New Roman"/>
          <w:b w:val="0"/>
          <w:bCs/>
          <w:sz w:val="21"/>
          <w:szCs w:val="24"/>
        </w:rPr>
      </w:pPr>
      <w:r>
        <w:rPr>
          <w:rFonts w:hint="eastAsia" w:ascii="Calibri" w:hAnsi="Calibri" w:eastAsia="宋体" w:cs="Times New Roman"/>
          <w:b w:val="0"/>
          <w:bCs/>
          <w:sz w:val="21"/>
          <w:szCs w:val="24"/>
        </w:rPr>
        <w:t>编</w:t>
      </w:r>
      <w:r>
        <w:rPr>
          <w:rFonts w:ascii="Calibri" w:hAnsi="Calibri" w:eastAsia="宋体" w:cs="Times New Roman"/>
          <w:b w:val="0"/>
          <w:bCs/>
          <w:sz w:val="21"/>
          <w:szCs w:val="24"/>
        </w:rPr>
        <w:t xml:space="preserve">号：                                </w:t>
      </w:r>
      <w:r>
        <w:rPr>
          <w:rFonts w:hint="eastAsia" w:ascii="Calibri" w:hAnsi="Calibri" w:eastAsia="宋体" w:cs="Times New Roman"/>
          <w:b w:val="0"/>
          <w:bCs/>
          <w:sz w:val="21"/>
          <w:szCs w:val="24"/>
        </w:rPr>
        <w:t xml:space="preserve">              </w:t>
      </w:r>
    </w:p>
    <w:tbl>
      <w:tblPr>
        <w:tblStyle w:val="4"/>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1508"/>
        <w:gridCol w:w="1350"/>
        <w:gridCol w:w="519"/>
        <w:gridCol w:w="801"/>
        <w:gridCol w:w="620"/>
        <w:gridCol w:w="715"/>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86"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被检查对象</w:t>
            </w:r>
            <w:r>
              <w:rPr>
                <w:rFonts w:ascii="Calibri" w:hAnsi="Calibri" w:eastAsia="宋体" w:cs="Times New Roman"/>
                <w:b w:val="0"/>
                <w:bCs/>
                <w:sz w:val="21"/>
                <w:szCs w:val="24"/>
              </w:rPr>
              <w:t>名称</w:t>
            </w:r>
          </w:p>
        </w:tc>
        <w:tc>
          <w:tcPr>
            <w:tcW w:w="675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840" w:lineRule="exact"/>
              <w:ind w:firstLine="0" w:firstLineChars="0"/>
              <w:rPr>
                <w:rFonts w:ascii="仿宋_GB2312" w:hAnsi="Calibri" w:eastAsia="宋体"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386" w:type="dxa"/>
            <w:tcBorders>
              <w:top w:val="single" w:color="auto" w:sz="4" w:space="0"/>
              <w:left w:val="single" w:color="auto" w:sz="4" w:space="0"/>
              <w:bottom w:val="single" w:color="auto" w:sz="4" w:space="0"/>
              <w:right w:val="single" w:color="auto" w:sz="4" w:space="0"/>
            </w:tcBorders>
          </w:tcPr>
          <w:p>
            <w:pPr>
              <w:spacing w:line="288" w:lineRule="auto"/>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检查人员</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仿宋_GB2312" w:hAnsi="Calibri" w:eastAsia="宋体" w:cs="Times New Roman"/>
                <w:b w:val="0"/>
                <w:bCs/>
                <w:sz w:val="24"/>
                <w:szCs w:val="24"/>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仿宋_GB2312" w:hAnsi="Calibri" w:eastAsia="宋体" w:cs="Times New Roman"/>
                <w:b w:val="0"/>
                <w:bCs/>
                <w:sz w:val="24"/>
                <w:szCs w:val="24"/>
              </w:rPr>
            </w:pPr>
            <w:r>
              <w:rPr>
                <w:rFonts w:hint="eastAsia" w:ascii="仿宋_GB2312" w:hAnsi="Calibri" w:eastAsia="宋体" w:cs="Times New Roman"/>
                <w:b w:val="0"/>
                <w:bCs/>
                <w:sz w:val="24"/>
                <w:szCs w:val="24"/>
              </w:rPr>
              <w:t>复核人员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仿宋_GB2312" w:hAnsi="Calibri" w:eastAsia="宋体" w:cs="Times New Roman"/>
                <w:b w:val="0"/>
                <w:bCs/>
                <w:sz w:val="24"/>
                <w:szCs w:val="24"/>
              </w:rPr>
            </w:pPr>
          </w:p>
        </w:tc>
        <w:tc>
          <w:tcPr>
            <w:tcW w:w="133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仿宋_GB2312" w:hAnsi="Calibri" w:eastAsia="宋体" w:cs="Times New Roman"/>
                <w:b w:val="0"/>
                <w:bCs/>
                <w:sz w:val="24"/>
                <w:szCs w:val="24"/>
              </w:rPr>
            </w:pPr>
            <w:r>
              <w:rPr>
                <w:rFonts w:hint="eastAsia" w:ascii="仿宋_GB2312" w:hAnsi="Calibri" w:eastAsia="宋体" w:cs="Times New Roman"/>
                <w:b w:val="0"/>
                <w:bCs/>
                <w:sz w:val="24"/>
                <w:szCs w:val="24"/>
              </w:rPr>
              <w:t>主查人</w:t>
            </w:r>
          </w:p>
        </w:tc>
        <w:tc>
          <w:tcPr>
            <w:tcW w:w="1239"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仿宋_GB2312" w:hAnsi="Calibri" w:eastAsia="宋体"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386" w:type="dxa"/>
            <w:tcBorders>
              <w:top w:val="single" w:color="auto" w:sz="4" w:space="0"/>
              <w:left w:val="single" w:color="auto" w:sz="4" w:space="0"/>
              <w:bottom w:val="single" w:color="auto" w:sz="4" w:space="0"/>
              <w:right w:val="single" w:color="auto" w:sz="4" w:space="0"/>
            </w:tcBorders>
          </w:tcPr>
          <w:p>
            <w:pPr>
              <w:spacing w:line="288" w:lineRule="auto"/>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检查组长</w:t>
            </w:r>
          </w:p>
        </w:tc>
        <w:tc>
          <w:tcPr>
            <w:tcW w:w="3377"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检查</w:t>
            </w:r>
            <w:r>
              <w:rPr>
                <w:rFonts w:ascii="Calibri" w:hAnsi="Calibri" w:eastAsia="宋体" w:cs="Times New Roman"/>
                <w:b w:val="0"/>
                <w:bCs/>
                <w:sz w:val="21"/>
                <w:szCs w:val="24"/>
              </w:rPr>
              <w:t>日期</w:t>
            </w:r>
          </w:p>
        </w:tc>
        <w:tc>
          <w:tcPr>
            <w:tcW w:w="1954"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5" w:hRule="atLeast"/>
          <w:jc w:val="center"/>
        </w:trPr>
        <w:tc>
          <w:tcPr>
            <w:tcW w:w="9138" w:type="dxa"/>
            <w:gridSpan w:val="8"/>
            <w:tcBorders>
              <w:top w:val="single" w:color="auto" w:sz="4" w:space="0"/>
              <w:left w:val="single" w:color="auto" w:sz="4" w:space="0"/>
              <w:bottom w:val="single" w:color="auto" w:sz="4" w:space="0"/>
              <w:right w:val="single" w:color="auto" w:sz="4" w:space="0"/>
            </w:tcBorders>
          </w:tcPr>
          <w:p>
            <w:pPr>
              <w:spacing w:line="580" w:lineRule="exact"/>
              <w:ind w:firstLine="0" w:firstLineChars="0"/>
              <w:rPr>
                <w:rFonts w:ascii="Calibri" w:hAnsi="Calibri" w:eastAsia="宋体" w:cs="Times New Roman"/>
                <w:b w:val="0"/>
                <w:bCs/>
                <w:sz w:val="24"/>
                <w:szCs w:val="24"/>
              </w:rPr>
            </w:pPr>
            <w:r>
              <w:rPr>
                <w:rFonts w:hint="eastAsia" w:ascii="Calibri" w:hAnsi="Calibri" w:eastAsia="宋体" w:cs="Times New Roman"/>
                <w:b w:val="0"/>
                <w:bCs/>
                <w:sz w:val="24"/>
                <w:szCs w:val="24"/>
              </w:rPr>
              <w:t>检查事实：</w:t>
            </w:r>
          </w:p>
          <w:p>
            <w:pPr>
              <w:spacing w:line="288" w:lineRule="auto"/>
              <w:ind w:firstLine="360" w:firstLineChars="150"/>
              <w:rPr>
                <w:rFonts w:ascii="仿宋_GB2312" w:hAnsi="宋体" w:eastAsia="宋体"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7" w:hRule="atLeast"/>
          <w:jc w:val="center"/>
        </w:trPr>
        <w:tc>
          <w:tcPr>
            <w:tcW w:w="9138" w:type="dxa"/>
            <w:gridSpan w:val="8"/>
            <w:tcBorders>
              <w:top w:val="single" w:color="auto" w:sz="4" w:space="0"/>
              <w:left w:val="single" w:color="auto" w:sz="4" w:space="0"/>
              <w:bottom w:val="single" w:color="auto" w:sz="4" w:space="0"/>
              <w:right w:val="single" w:color="auto" w:sz="4" w:space="0"/>
            </w:tcBorders>
          </w:tcPr>
          <w:p>
            <w:pPr>
              <w:spacing w:line="288" w:lineRule="auto"/>
              <w:ind w:firstLine="0" w:firstLineChars="0"/>
              <w:rPr>
                <w:rFonts w:ascii="仿宋_GB2312" w:hAnsi="宋体" w:eastAsia="宋体" w:cs="Times New Roman"/>
                <w:b w:val="0"/>
                <w:bCs/>
                <w:sz w:val="24"/>
                <w:szCs w:val="24"/>
              </w:rPr>
            </w:pPr>
          </w:p>
          <w:p>
            <w:pPr>
              <w:spacing w:line="288" w:lineRule="auto"/>
              <w:ind w:firstLine="0" w:firstLineChars="0"/>
              <w:rPr>
                <w:rFonts w:ascii="仿宋_GB2312" w:hAnsi="宋体" w:eastAsia="宋体" w:cs="Times New Roman"/>
                <w:b w:val="0"/>
                <w:bCs/>
                <w:sz w:val="24"/>
                <w:szCs w:val="24"/>
              </w:rPr>
            </w:pPr>
            <w:r>
              <w:rPr>
                <w:rFonts w:hint="eastAsia" w:ascii="仿宋_GB2312" w:hAnsi="宋体" w:eastAsia="宋体" w:cs="Times New Roman"/>
                <w:b w:val="0"/>
                <w:bCs/>
                <w:sz w:val="24"/>
                <w:szCs w:val="24"/>
              </w:rPr>
              <w:t>被检查对象意见：</w:t>
            </w:r>
          </w:p>
          <w:p>
            <w:pPr>
              <w:spacing w:line="288" w:lineRule="auto"/>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r>
              <w:rPr>
                <w:rFonts w:hint="eastAsia" w:ascii="仿宋_GB2312" w:hAnsi="宋体" w:eastAsia="宋体" w:cs="Times New Roman"/>
                <w:b w:val="0"/>
                <w:bCs/>
                <w:sz w:val="24"/>
                <w:szCs w:val="24"/>
              </w:rPr>
              <w:t xml:space="preserve">                                    被检查对象负责人签名：</w:t>
            </w:r>
          </w:p>
          <w:p>
            <w:pPr>
              <w:spacing w:line="240" w:lineRule="atLeast"/>
              <w:ind w:firstLine="0" w:firstLineChars="0"/>
              <w:rPr>
                <w:rFonts w:ascii="仿宋_GB2312" w:hAnsi="宋体" w:eastAsia="宋体" w:cs="Times New Roman"/>
                <w:b w:val="0"/>
                <w:bCs/>
                <w:sz w:val="24"/>
                <w:szCs w:val="24"/>
              </w:rPr>
            </w:pPr>
            <w:r>
              <w:rPr>
                <w:rFonts w:hint="eastAsia" w:ascii="仿宋_GB2312" w:hAnsi="宋体" w:eastAsia="宋体" w:cs="Times New Roman"/>
                <w:b w:val="0"/>
                <w:bCs/>
                <w:sz w:val="24"/>
                <w:szCs w:val="24"/>
              </w:rPr>
              <w:t xml:space="preserve">                                              年   月   日</w:t>
            </w:r>
          </w:p>
        </w:tc>
      </w:tr>
    </w:tbl>
    <w:tbl>
      <w:tblPr>
        <w:tblStyle w:val="5"/>
        <w:tblpPr w:leftFromText="180" w:rightFromText="180" w:vertAnchor="text" w:tblpX="10214" w:tblpY="-8905"/>
        <w:tblOverlap w:val="never"/>
        <w:tblW w:w="1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968" w:type="dxa"/>
          </w:tcPr>
          <w:p>
            <w:pPr>
              <w:wordWrap w:val="0"/>
              <w:spacing w:line="240" w:lineRule="auto"/>
              <w:ind w:right="105" w:firstLine="420"/>
              <w:jc w:val="right"/>
              <w:rPr>
                <w:rFonts w:ascii="Calibri" w:hAnsi="Calibri" w:eastAsia="宋体" w:cs="Times New Roman"/>
                <w:b w:val="0"/>
                <w:bCs/>
                <w:sz w:val="21"/>
                <w:szCs w:val="24"/>
              </w:rPr>
            </w:pPr>
          </w:p>
        </w:tc>
      </w:tr>
    </w:tbl>
    <w:p>
      <w:pPr>
        <w:wordWrap w:val="0"/>
        <w:spacing w:line="240" w:lineRule="auto"/>
        <w:ind w:right="945" w:firstLine="0" w:firstLineChars="0"/>
        <w:rPr>
          <w:rFonts w:ascii="仿宋_GB2312" w:hAnsi="Calibri" w:cs="Times New Roman"/>
          <w:b w:val="0"/>
          <w:bCs/>
          <w:szCs w:val="32"/>
        </w:rPr>
      </w:pPr>
      <w:r>
        <w:rPr>
          <w:rFonts w:hint="eastAsia" w:ascii="仿宋_GB2312" w:hAnsi="Calibri" w:cs="Times New Roman"/>
          <w:b w:val="0"/>
          <w:bCs/>
          <w:szCs w:val="32"/>
        </w:rPr>
        <w:t>附件6</w:t>
      </w:r>
    </w:p>
    <w:p>
      <w:pPr>
        <w:spacing w:line="600" w:lineRule="exact"/>
        <w:ind w:firstLine="0" w:firstLineChars="0"/>
        <w:jc w:val="center"/>
        <w:rPr>
          <w:rFonts w:ascii="创艺简" w:hAnsi="创艺简" w:eastAsia="创艺简" w:cs="创艺简"/>
          <w:b w:val="0"/>
          <w:bCs/>
          <w:szCs w:val="32"/>
        </w:rPr>
      </w:pPr>
      <w:r>
        <w:rPr>
          <w:rFonts w:hint="eastAsia" w:ascii="创艺简" w:hAnsi="创艺简" w:eastAsia="创艺简" w:cs="创艺简"/>
          <w:b w:val="0"/>
          <w:bCs/>
          <w:szCs w:val="32"/>
        </w:rPr>
        <w:t>现场检查事实</w:t>
      </w:r>
      <w:r>
        <w:rPr>
          <w:rFonts w:hint="eastAsia" w:cs="创艺简" w:asciiTheme="minorEastAsia" w:hAnsiTheme="minorEastAsia" w:eastAsiaTheme="minorEastAsia"/>
          <w:b w:val="0"/>
          <w:bCs/>
          <w:szCs w:val="32"/>
        </w:rPr>
        <w:t>与</w:t>
      </w:r>
      <w:r>
        <w:rPr>
          <w:rFonts w:hint="eastAsia" w:ascii="创艺简" w:hAnsi="创艺简" w:eastAsia="创艺简" w:cs="创艺简"/>
          <w:b w:val="0"/>
          <w:bCs/>
          <w:szCs w:val="32"/>
        </w:rPr>
        <w:t>评价</w:t>
      </w:r>
    </w:p>
    <w:p>
      <w:pPr>
        <w:spacing w:line="360" w:lineRule="auto"/>
        <w:ind w:left="-547" w:firstLine="630" w:firstLineChars="0"/>
        <w:rPr>
          <w:rFonts w:ascii="Calibri" w:hAnsi="Calibri" w:eastAsia="宋体" w:cs="Times New Roman"/>
          <w:b w:val="0"/>
          <w:bCs/>
          <w:sz w:val="21"/>
          <w:szCs w:val="24"/>
        </w:rPr>
      </w:pPr>
      <w:r>
        <w:rPr>
          <w:rFonts w:hint="eastAsia" w:ascii="Calibri" w:hAnsi="Calibri" w:eastAsia="宋体" w:cs="Times New Roman"/>
          <w:b w:val="0"/>
          <w:bCs/>
          <w:sz w:val="21"/>
          <w:szCs w:val="24"/>
        </w:rPr>
        <w:t>编</w:t>
      </w:r>
      <w:r>
        <w:rPr>
          <w:rFonts w:ascii="Calibri" w:hAnsi="Calibri" w:eastAsia="宋体" w:cs="Times New Roman"/>
          <w:b w:val="0"/>
          <w:bCs/>
          <w:sz w:val="21"/>
          <w:szCs w:val="24"/>
        </w:rPr>
        <w:t xml:space="preserve">号：                                </w:t>
      </w:r>
      <w:r>
        <w:rPr>
          <w:rFonts w:hint="eastAsia" w:ascii="Calibri" w:hAnsi="Calibri" w:eastAsia="宋体" w:cs="Times New Roman"/>
          <w:b w:val="0"/>
          <w:bCs/>
          <w:sz w:val="21"/>
          <w:szCs w:val="24"/>
        </w:rPr>
        <w:t xml:space="preserve">              </w:t>
      </w:r>
    </w:p>
    <w:tbl>
      <w:tblPr>
        <w:tblStyle w:val="4"/>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1508"/>
        <w:gridCol w:w="1350"/>
        <w:gridCol w:w="519"/>
        <w:gridCol w:w="801"/>
        <w:gridCol w:w="620"/>
        <w:gridCol w:w="715"/>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386"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被检查对象</w:t>
            </w:r>
            <w:r>
              <w:rPr>
                <w:rFonts w:ascii="Calibri" w:hAnsi="Calibri" w:eastAsia="宋体" w:cs="Times New Roman"/>
                <w:b w:val="0"/>
                <w:bCs/>
                <w:sz w:val="21"/>
                <w:szCs w:val="24"/>
              </w:rPr>
              <w:t>名称</w:t>
            </w:r>
          </w:p>
        </w:tc>
        <w:tc>
          <w:tcPr>
            <w:tcW w:w="6752" w:type="dxa"/>
            <w:gridSpan w:val="7"/>
            <w:tcBorders>
              <w:top w:val="single" w:color="auto" w:sz="4" w:space="0"/>
              <w:left w:val="single" w:color="auto" w:sz="4" w:space="0"/>
              <w:bottom w:val="single" w:color="auto" w:sz="4" w:space="0"/>
              <w:right w:val="single" w:color="auto" w:sz="4" w:space="0"/>
            </w:tcBorders>
            <w:vAlign w:val="center"/>
          </w:tcPr>
          <w:p>
            <w:pPr>
              <w:snapToGrid w:val="0"/>
              <w:spacing w:line="840" w:lineRule="exact"/>
              <w:ind w:firstLine="0" w:firstLineChars="0"/>
              <w:rPr>
                <w:rFonts w:ascii="仿宋_GB2312" w:hAnsi="Calibri" w:eastAsia="宋体"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2386" w:type="dxa"/>
            <w:tcBorders>
              <w:top w:val="single" w:color="auto" w:sz="4" w:space="0"/>
              <w:left w:val="single" w:color="auto" w:sz="4" w:space="0"/>
              <w:bottom w:val="single" w:color="auto" w:sz="4" w:space="0"/>
              <w:right w:val="single" w:color="auto" w:sz="4" w:space="0"/>
            </w:tcBorders>
          </w:tcPr>
          <w:p>
            <w:pPr>
              <w:spacing w:line="288" w:lineRule="auto"/>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检查人员</w:t>
            </w:r>
          </w:p>
        </w:tc>
        <w:tc>
          <w:tcPr>
            <w:tcW w:w="1508"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仿宋_GB2312" w:hAnsi="Calibri" w:eastAsia="宋体" w:cs="Times New Roman"/>
                <w:b w:val="0"/>
                <w:bCs/>
                <w:sz w:val="24"/>
                <w:szCs w:val="24"/>
              </w:rPr>
            </w:pPr>
          </w:p>
        </w:tc>
        <w:tc>
          <w:tcPr>
            <w:tcW w:w="1350"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仿宋_GB2312" w:hAnsi="Calibri" w:eastAsia="宋体" w:cs="Times New Roman"/>
                <w:b w:val="0"/>
                <w:bCs/>
                <w:sz w:val="24"/>
                <w:szCs w:val="24"/>
              </w:rPr>
            </w:pPr>
            <w:r>
              <w:rPr>
                <w:rFonts w:hint="eastAsia" w:ascii="仿宋_GB2312" w:hAnsi="Calibri" w:eastAsia="宋体" w:cs="Times New Roman"/>
                <w:b w:val="0"/>
                <w:bCs/>
                <w:sz w:val="24"/>
                <w:szCs w:val="24"/>
              </w:rPr>
              <w:t>复核人员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仿宋_GB2312" w:hAnsi="Calibri" w:eastAsia="宋体" w:cs="Times New Roman"/>
                <w:b w:val="0"/>
                <w:bCs/>
                <w:sz w:val="24"/>
                <w:szCs w:val="24"/>
              </w:rPr>
            </w:pPr>
          </w:p>
        </w:tc>
        <w:tc>
          <w:tcPr>
            <w:tcW w:w="1335"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仿宋_GB2312" w:hAnsi="Calibri" w:eastAsia="宋体" w:cs="Times New Roman"/>
                <w:b w:val="0"/>
                <w:bCs/>
                <w:sz w:val="24"/>
                <w:szCs w:val="24"/>
              </w:rPr>
            </w:pPr>
            <w:r>
              <w:rPr>
                <w:rFonts w:hint="eastAsia" w:ascii="仿宋_GB2312" w:hAnsi="Calibri" w:eastAsia="宋体" w:cs="Times New Roman"/>
                <w:b w:val="0"/>
                <w:bCs/>
                <w:sz w:val="24"/>
                <w:szCs w:val="24"/>
              </w:rPr>
              <w:t>主查人</w:t>
            </w:r>
          </w:p>
        </w:tc>
        <w:tc>
          <w:tcPr>
            <w:tcW w:w="1239" w:type="dxa"/>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仿宋_GB2312" w:hAnsi="Calibri" w:eastAsia="宋体"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386" w:type="dxa"/>
            <w:tcBorders>
              <w:top w:val="single" w:color="auto" w:sz="4" w:space="0"/>
              <w:left w:val="single" w:color="auto" w:sz="4" w:space="0"/>
              <w:bottom w:val="single" w:color="auto" w:sz="4" w:space="0"/>
              <w:right w:val="single" w:color="auto" w:sz="4" w:space="0"/>
            </w:tcBorders>
          </w:tcPr>
          <w:p>
            <w:pPr>
              <w:spacing w:line="288" w:lineRule="auto"/>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检查组长</w:t>
            </w:r>
          </w:p>
        </w:tc>
        <w:tc>
          <w:tcPr>
            <w:tcW w:w="3377" w:type="dxa"/>
            <w:gridSpan w:val="3"/>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p>
        </w:tc>
        <w:tc>
          <w:tcPr>
            <w:tcW w:w="1421"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r>
              <w:rPr>
                <w:rFonts w:hint="eastAsia" w:ascii="Calibri" w:hAnsi="Calibri" w:eastAsia="宋体" w:cs="Times New Roman"/>
                <w:b w:val="0"/>
                <w:bCs/>
                <w:sz w:val="21"/>
                <w:szCs w:val="24"/>
              </w:rPr>
              <w:t>检查</w:t>
            </w:r>
            <w:r>
              <w:rPr>
                <w:rFonts w:ascii="Calibri" w:hAnsi="Calibri" w:eastAsia="宋体" w:cs="Times New Roman"/>
                <w:b w:val="0"/>
                <w:bCs/>
                <w:sz w:val="21"/>
                <w:szCs w:val="24"/>
              </w:rPr>
              <w:t>日期</w:t>
            </w:r>
          </w:p>
        </w:tc>
        <w:tc>
          <w:tcPr>
            <w:tcW w:w="1954" w:type="dxa"/>
            <w:gridSpan w:val="2"/>
            <w:tcBorders>
              <w:top w:val="single" w:color="auto" w:sz="4" w:space="0"/>
              <w:left w:val="single" w:color="auto" w:sz="4" w:space="0"/>
              <w:bottom w:val="single" w:color="auto" w:sz="4" w:space="0"/>
              <w:right w:val="single" w:color="auto" w:sz="4" w:space="0"/>
            </w:tcBorders>
            <w:vAlign w:val="center"/>
          </w:tcPr>
          <w:p>
            <w:pPr>
              <w:spacing w:line="288" w:lineRule="auto"/>
              <w:ind w:firstLine="0" w:firstLineChars="0"/>
              <w:jc w:val="center"/>
              <w:rPr>
                <w:rFonts w:ascii="Calibri" w:hAnsi="Calibri" w:eastAsia="宋体" w:cs="Times New Roman"/>
                <w:b w:val="0"/>
                <w:bCs/>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2" w:hRule="atLeast"/>
          <w:jc w:val="center"/>
        </w:trPr>
        <w:tc>
          <w:tcPr>
            <w:tcW w:w="9138" w:type="dxa"/>
            <w:gridSpan w:val="8"/>
            <w:tcBorders>
              <w:top w:val="single" w:color="auto" w:sz="4" w:space="0"/>
              <w:left w:val="single" w:color="auto" w:sz="4" w:space="0"/>
              <w:bottom w:val="single" w:color="auto" w:sz="4" w:space="0"/>
              <w:right w:val="single" w:color="auto" w:sz="4" w:space="0"/>
            </w:tcBorders>
          </w:tcPr>
          <w:p>
            <w:pPr>
              <w:spacing w:line="580" w:lineRule="exact"/>
              <w:ind w:firstLine="0" w:firstLineChars="0"/>
              <w:rPr>
                <w:rFonts w:ascii="Calibri" w:hAnsi="Calibri" w:eastAsia="宋体" w:cs="Times New Roman"/>
                <w:b w:val="0"/>
                <w:bCs/>
                <w:sz w:val="24"/>
                <w:szCs w:val="24"/>
              </w:rPr>
            </w:pPr>
            <w:r>
              <w:rPr>
                <w:rFonts w:hint="eastAsia" w:ascii="Calibri" w:hAnsi="Calibri" w:eastAsia="宋体" w:cs="Times New Roman"/>
                <w:b w:val="0"/>
                <w:bCs/>
                <w:sz w:val="24"/>
                <w:szCs w:val="24"/>
              </w:rPr>
              <w:t>检查事实与评价：</w:t>
            </w:r>
          </w:p>
          <w:p>
            <w:pPr>
              <w:spacing w:line="288" w:lineRule="auto"/>
              <w:ind w:firstLine="199" w:firstLineChars="83"/>
              <w:rPr>
                <w:rFonts w:ascii="仿宋_GB2312" w:hAnsi="宋体" w:eastAsia="宋体" w:cs="Times New Roman"/>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2" w:hRule="atLeast"/>
          <w:jc w:val="center"/>
        </w:trPr>
        <w:tc>
          <w:tcPr>
            <w:tcW w:w="9138" w:type="dxa"/>
            <w:gridSpan w:val="8"/>
            <w:tcBorders>
              <w:top w:val="single" w:color="auto" w:sz="4" w:space="0"/>
              <w:left w:val="single" w:color="auto" w:sz="4" w:space="0"/>
              <w:bottom w:val="single" w:color="auto" w:sz="4" w:space="0"/>
              <w:right w:val="single" w:color="auto" w:sz="4" w:space="0"/>
            </w:tcBorders>
          </w:tcPr>
          <w:p>
            <w:pPr>
              <w:spacing w:line="288" w:lineRule="auto"/>
              <w:ind w:firstLine="0" w:firstLineChars="0"/>
              <w:rPr>
                <w:rFonts w:ascii="仿宋_GB2312" w:hAnsi="宋体" w:eastAsia="宋体" w:cs="Times New Roman"/>
                <w:b w:val="0"/>
                <w:bCs/>
                <w:sz w:val="24"/>
                <w:szCs w:val="24"/>
              </w:rPr>
            </w:pPr>
            <w:r>
              <w:rPr>
                <w:rFonts w:hint="eastAsia" w:ascii="仿宋_GB2312" w:hAnsi="宋体" w:eastAsia="宋体" w:cs="Times New Roman"/>
                <w:b w:val="0"/>
                <w:bCs/>
                <w:sz w:val="24"/>
                <w:szCs w:val="24"/>
              </w:rPr>
              <w:t>被检查对象意见：</w:t>
            </w:r>
          </w:p>
          <w:p>
            <w:pPr>
              <w:spacing w:line="288" w:lineRule="auto"/>
              <w:ind w:firstLine="0" w:firstLineChars="0"/>
              <w:rPr>
                <w:rFonts w:ascii="仿宋_GB2312" w:hAnsi="宋体" w:eastAsia="宋体" w:cs="Times New Roman"/>
                <w:b w:val="0"/>
                <w:bCs/>
                <w:sz w:val="24"/>
                <w:szCs w:val="24"/>
              </w:rPr>
            </w:pPr>
          </w:p>
          <w:p>
            <w:pPr>
              <w:spacing w:line="240" w:lineRule="atLeast"/>
              <w:ind w:firstLine="0" w:firstLineChars="0"/>
              <w:rPr>
                <w:rFonts w:ascii="Calibri" w:hAnsi="Calibri" w:eastAsia="宋体" w:cs="Times New Roman"/>
                <w:b w:val="0"/>
                <w:bCs/>
                <w:sz w:val="21"/>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p>
          <w:p>
            <w:pPr>
              <w:spacing w:line="240" w:lineRule="atLeast"/>
              <w:ind w:firstLine="0" w:firstLineChars="0"/>
              <w:rPr>
                <w:rFonts w:ascii="仿宋_GB2312" w:hAnsi="宋体" w:eastAsia="宋体" w:cs="Times New Roman"/>
                <w:b w:val="0"/>
                <w:bCs/>
                <w:sz w:val="24"/>
                <w:szCs w:val="24"/>
              </w:rPr>
            </w:pPr>
            <w:r>
              <w:rPr>
                <w:rFonts w:hint="eastAsia" w:ascii="仿宋_GB2312" w:hAnsi="宋体" w:eastAsia="宋体" w:cs="Times New Roman"/>
                <w:b w:val="0"/>
                <w:bCs/>
                <w:sz w:val="24"/>
                <w:szCs w:val="24"/>
              </w:rPr>
              <w:t xml:space="preserve">                                     被检查对象负责人签名：</w:t>
            </w:r>
          </w:p>
          <w:p>
            <w:pPr>
              <w:spacing w:line="240" w:lineRule="atLeast"/>
              <w:ind w:firstLine="0" w:firstLineChars="0"/>
              <w:rPr>
                <w:rFonts w:ascii="仿宋_GB2312" w:hAnsi="宋体" w:eastAsia="宋体" w:cs="Times New Roman"/>
                <w:b w:val="0"/>
                <w:bCs/>
                <w:sz w:val="24"/>
                <w:szCs w:val="24"/>
              </w:rPr>
            </w:pPr>
            <w:r>
              <w:rPr>
                <w:rFonts w:hint="eastAsia" w:ascii="仿宋_GB2312" w:hAnsi="宋体" w:eastAsia="宋体" w:cs="Times New Roman"/>
                <w:b w:val="0"/>
                <w:bCs/>
                <w:sz w:val="24"/>
                <w:szCs w:val="24"/>
              </w:rPr>
              <w:t xml:space="preserve">                                              年   月   日</w:t>
            </w:r>
          </w:p>
        </w:tc>
      </w:tr>
    </w:tbl>
    <w:p>
      <w:pPr>
        <w:spacing w:line="600" w:lineRule="exact"/>
        <w:ind w:firstLine="0" w:firstLineChars="0"/>
        <w:rPr>
          <w:rFonts w:ascii="创艺简" w:hAnsi="创艺简" w:eastAsia="创艺简" w:cs="创艺简"/>
          <w:b w:val="0"/>
          <w:bCs/>
          <w:sz w:val="44"/>
          <w:szCs w:val="44"/>
        </w:rPr>
      </w:pPr>
      <w:r>
        <w:rPr>
          <w:rFonts w:hint="eastAsia" w:ascii="仿宋_GB2312" w:hAnsi="Calibri" w:cs="Times New Roman"/>
          <w:b w:val="0"/>
          <w:bCs/>
          <w:szCs w:val="32"/>
        </w:rPr>
        <w:t>附件7</w:t>
      </w:r>
    </w:p>
    <w:p>
      <w:pPr>
        <w:spacing w:line="600" w:lineRule="exact"/>
        <w:ind w:firstLine="0" w:firstLineChars="0"/>
        <w:jc w:val="center"/>
        <w:rPr>
          <w:rFonts w:ascii="创艺简" w:hAnsi="创艺简" w:eastAsia="创艺简" w:cs="创艺简"/>
          <w:b w:val="0"/>
          <w:bCs/>
          <w:sz w:val="44"/>
          <w:szCs w:val="44"/>
        </w:rPr>
      </w:pPr>
      <w:r>
        <w:rPr>
          <w:rFonts w:hint="eastAsia" w:ascii="创艺简" w:hAnsi="创艺简" w:eastAsia="创艺简" w:cs="创艺简"/>
          <w:b w:val="0"/>
          <w:bCs/>
          <w:sz w:val="44"/>
          <w:szCs w:val="44"/>
        </w:rPr>
        <w:t>现场检查工作报告</w:t>
      </w:r>
    </w:p>
    <w:p>
      <w:pPr>
        <w:spacing w:line="600" w:lineRule="exact"/>
        <w:ind w:firstLine="0" w:firstLineChars="0"/>
        <w:jc w:val="center"/>
        <w:rPr>
          <w:rFonts w:ascii="创艺简标宋" w:hAnsi="Calibri" w:eastAsia="创艺简标宋" w:cs="Times New Roman"/>
          <w:b w:val="0"/>
          <w:bCs/>
          <w:szCs w:val="32"/>
        </w:rPr>
      </w:pPr>
    </w:p>
    <w:p>
      <w:pPr>
        <w:spacing w:line="240" w:lineRule="auto"/>
        <w:ind w:firstLine="320" w:firstLineChars="100"/>
        <w:rPr>
          <w:rFonts w:ascii="黑体" w:hAnsi="黑体" w:eastAsia="黑体" w:cs="Times New Roman"/>
          <w:b w:val="0"/>
          <w:bCs/>
          <w:szCs w:val="32"/>
        </w:rPr>
      </w:pPr>
      <w:r>
        <w:rPr>
          <w:rFonts w:hint="eastAsia" w:ascii="黑体" w:hAnsi="黑体" w:eastAsia="黑体" w:cs="Times New Roman"/>
          <w:b w:val="0"/>
          <w:bCs/>
          <w:szCs w:val="32"/>
        </w:rPr>
        <w:t>一、检查实施情况</w:t>
      </w:r>
    </w:p>
    <w:p>
      <w:pPr>
        <w:spacing w:line="240" w:lineRule="auto"/>
        <w:ind w:firstLine="0" w:firstLineChars="0"/>
        <w:rPr>
          <w:rFonts w:ascii="仿宋_GB2312" w:hAnsi="Calibri" w:cs="Times New Roman"/>
          <w:b w:val="0"/>
          <w:bCs/>
          <w:szCs w:val="32"/>
        </w:rPr>
      </w:pPr>
    </w:p>
    <w:p>
      <w:pPr>
        <w:spacing w:line="240" w:lineRule="auto"/>
        <w:ind w:firstLine="320" w:firstLineChars="100"/>
        <w:rPr>
          <w:rFonts w:ascii="黑体" w:hAnsi="黑体" w:eastAsia="黑体" w:cs="Times New Roman"/>
          <w:b w:val="0"/>
          <w:bCs/>
          <w:szCs w:val="32"/>
        </w:rPr>
      </w:pPr>
      <w:r>
        <w:rPr>
          <w:rFonts w:hint="eastAsia" w:ascii="黑体" w:hAnsi="黑体" w:eastAsia="黑体" w:cs="Times New Roman"/>
          <w:b w:val="0"/>
          <w:bCs/>
          <w:szCs w:val="32"/>
        </w:rPr>
        <w:t>二、被查机构基本情况和总体评价</w:t>
      </w:r>
    </w:p>
    <w:p>
      <w:pPr>
        <w:spacing w:line="240" w:lineRule="auto"/>
        <w:ind w:firstLine="320" w:firstLineChars="100"/>
        <w:rPr>
          <w:rFonts w:ascii="仿宋_GB2312" w:hAnsi="Calibri" w:cs="Times New Roman"/>
          <w:b w:val="0"/>
          <w:bCs/>
          <w:szCs w:val="32"/>
        </w:rPr>
      </w:pPr>
    </w:p>
    <w:p>
      <w:pPr>
        <w:spacing w:line="240" w:lineRule="auto"/>
        <w:ind w:firstLine="320" w:firstLineChars="100"/>
        <w:rPr>
          <w:rFonts w:ascii="黑体" w:hAnsi="黑体" w:eastAsia="黑体" w:cs="Times New Roman"/>
          <w:b w:val="0"/>
          <w:bCs/>
          <w:szCs w:val="32"/>
        </w:rPr>
      </w:pPr>
      <w:r>
        <w:rPr>
          <w:rFonts w:hint="eastAsia" w:ascii="黑体" w:hAnsi="黑体" w:eastAsia="黑体" w:cs="Times New Roman"/>
          <w:b w:val="0"/>
          <w:bCs/>
          <w:szCs w:val="32"/>
        </w:rPr>
        <w:t>三、检查发现的主要问题及原因</w:t>
      </w:r>
    </w:p>
    <w:p>
      <w:pPr>
        <w:spacing w:line="240" w:lineRule="auto"/>
        <w:ind w:firstLine="320" w:firstLineChars="100"/>
        <w:rPr>
          <w:rFonts w:ascii="黑体" w:hAnsi="黑体" w:eastAsia="黑体" w:cs="Times New Roman"/>
          <w:b w:val="0"/>
          <w:bCs/>
          <w:szCs w:val="32"/>
        </w:rPr>
      </w:pPr>
    </w:p>
    <w:p>
      <w:pPr>
        <w:spacing w:line="240" w:lineRule="auto"/>
        <w:ind w:firstLine="320" w:firstLineChars="100"/>
        <w:rPr>
          <w:rFonts w:ascii="黑体" w:hAnsi="黑体" w:eastAsia="黑体" w:cs="Times New Roman"/>
          <w:b w:val="0"/>
          <w:bCs/>
          <w:szCs w:val="32"/>
        </w:rPr>
      </w:pPr>
      <w:r>
        <w:rPr>
          <w:rFonts w:hint="eastAsia" w:ascii="黑体" w:hAnsi="黑体" w:eastAsia="黑体" w:cs="Times New Roman"/>
          <w:b w:val="0"/>
          <w:bCs/>
          <w:szCs w:val="32"/>
        </w:rPr>
        <w:t>四、监管意见和措施、政策建议</w:t>
      </w:r>
    </w:p>
    <w:p>
      <w:pPr>
        <w:spacing w:line="240" w:lineRule="auto"/>
        <w:ind w:firstLine="320" w:firstLineChars="100"/>
        <w:rPr>
          <w:rFonts w:ascii="仿宋_GB2312" w:hAnsi="Calibri" w:cs="Times New Roman"/>
          <w:b w:val="0"/>
          <w:bCs/>
          <w:szCs w:val="32"/>
        </w:rPr>
      </w:pPr>
    </w:p>
    <w:p>
      <w:pPr>
        <w:spacing w:line="240" w:lineRule="auto"/>
        <w:ind w:firstLine="0" w:firstLineChars="0"/>
        <w:rPr>
          <w:rFonts w:ascii="仿宋_GB2312" w:hAnsi="Calibri" w:cs="Times New Roman"/>
          <w:b w:val="0"/>
          <w:bCs/>
          <w:szCs w:val="32"/>
        </w:rPr>
      </w:pPr>
    </w:p>
    <w:p>
      <w:pPr>
        <w:spacing w:line="240" w:lineRule="auto"/>
        <w:ind w:firstLine="0" w:firstLineChars="0"/>
        <w:rPr>
          <w:rFonts w:ascii="仿宋_GB2312" w:hAnsi="Calibri" w:cs="Times New Roman"/>
          <w:b w:val="0"/>
          <w:bCs/>
          <w:szCs w:val="32"/>
        </w:rPr>
      </w:pPr>
    </w:p>
    <w:p>
      <w:pPr>
        <w:spacing w:line="600" w:lineRule="exact"/>
        <w:ind w:firstLine="198" w:firstLineChars="62"/>
        <w:rPr>
          <w:rFonts w:ascii="仿宋_GB2312"/>
          <w:b w:val="0"/>
          <w:bCs/>
          <w:szCs w:val="32"/>
        </w:rPr>
      </w:pPr>
    </w:p>
    <w:p>
      <w:pPr>
        <w:spacing w:line="600" w:lineRule="exact"/>
        <w:ind w:firstLine="198" w:firstLineChars="62"/>
        <w:rPr>
          <w:rFonts w:ascii="仿宋_GB2312"/>
          <w:b w:val="0"/>
          <w:bCs/>
          <w:szCs w:val="32"/>
        </w:rPr>
      </w:pPr>
    </w:p>
    <w:p>
      <w:pPr>
        <w:spacing w:line="600" w:lineRule="exact"/>
        <w:ind w:firstLine="198" w:firstLineChars="62"/>
        <w:rPr>
          <w:rFonts w:ascii="仿宋_GB2312"/>
          <w:b w:val="0"/>
          <w:bCs/>
          <w:szCs w:val="32"/>
        </w:rPr>
      </w:pPr>
    </w:p>
    <w:p>
      <w:pPr>
        <w:spacing w:line="600" w:lineRule="exact"/>
        <w:ind w:firstLine="198" w:firstLineChars="62"/>
        <w:rPr>
          <w:rFonts w:ascii="仿宋_GB2312"/>
          <w:b w:val="0"/>
          <w:bCs/>
          <w:szCs w:val="32"/>
        </w:rPr>
      </w:pPr>
    </w:p>
    <w:p>
      <w:pPr>
        <w:spacing w:line="600" w:lineRule="exact"/>
        <w:ind w:firstLine="198" w:firstLineChars="62"/>
        <w:rPr>
          <w:rFonts w:ascii="仿宋_GB2312"/>
          <w:b w:val="0"/>
          <w:bCs/>
          <w:szCs w:val="32"/>
        </w:rPr>
      </w:pPr>
    </w:p>
    <w:p>
      <w:pPr>
        <w:spacing w:line="600" w:lineRule="exact"/>
        <w:ind w:firstLine="198" w:firstLineChars="62"/>
        <w:rPr>
          <w:rFonts w:ascii="仿宋_GB2312"/>
          <w:b w:val="0"/>
          <w:bCs/>
          <w:szCs w:val="32"/>
        </w:rPr>
      </w:pPr>
    </w:p>
    <w:p>
      <w:pPr>
        <w:spacing w:line="600" w:lineRule="exact"/>
        <w:ind w:firstLine="198" w:firstLineChars="62"/>
        <w:rPr>
          <w:rFonts w:ascii="仿宋_GB2312"/>
          <w:b w:val="0"/>
          <w:bCs/>
          <w:szCs w:val="32"/>
        </w:rPr>
      </w:pPr>
    </w:p>
    <w:p>
      <w:pPr>
        <w:spacing w:line="600" w:lineRule="exact"/>
        <w:ind w:firstLine="198" w:firstLineChars="62"/>
        <w:rPr>
          <w:rFonts w:ascii="仿宋_GB2312"/>
          <w:b w:val="0"/>
          <w:bCs/>
          <w:szCs w:val="32"/>
        </w:rPr>
      </w:pPr>
    </w:p>
    <w:p>
      <w:pPr>
        <w:spacing w:line="600" w:lineRule="exact"/>
        <w:ind w:firstLine="198" w:firstLineChars="62"/>
        <w:rPr>
          <w:rFonts w:ascii="仿宋_GB2312"/>
          <w:b w:val="0"/>
          <w:bCs/>
          <w:szCs w:val="32"/>
        </w:rPr>
      </w:pPr>
    </w:p>
    <w:p>
      <w:pPr>
        <w:spacing w:line="600" w:lineRule="exact"/>
        <w:ind w:firstLine="198" w:firstLineChars="62"/>
        <w:rPr>
          <w:rFonts w:ascii="仿宋_GB2312"/>
          <w:b w:val="0"/>
          <w:bCs/>
          <w:szCs w:val="32"/>
        </w:rPr>
      </w:pPr>
      <w:r>
        <w:rPr>
          <w:rFonts w:hint="eastAsia" w:ascii="仿宋_GB2312"/>
          <w:b w:val="0"/>
          <w:bCs/>
          <w:szCs w:val="32"/>
        </w:rPr>
        <w:t>附件8</w:t>
      </w:r>
    </w:p>
    <w:p>
      <w:pPr>
        <w:spacing w:line="600" w:lineRule="exact"/>
        <w:ind w:firstLine="0" w:firstLineChars="0"/>
        <w:rPr>
          <w:rFonts w:ascii="创艺简" w:hAnsi="创艺简" w:eastAsia="创艺简" w:cs="创艺简"/>
          <w:b w:val="0"/>
          <w:bCs/>
          <w:sz w:val="44"/>
          <w:szCs w:val="44"/>
        </w:rPr>
      </w:pPr>
    </w:p>
    <w:p>
      <w:pPr>
        <w:spacing w:line="600" w:lineRule="exact"/>
        <w:ind w:firstLine="0" w:firstLineChars="0"/>
        <w:jc w:val="center"/>
        <w:rPr>
          <w:rFonts w:cs="创艺简" w:asciiTheme="minorEastAsia" w:hAnsiTheme="minorEastAsia" w:eastAsiaTheme="minorEastAsia"/>
          <w:b w:val="0"/>
          <w:bCs/>
          <w:sz w:val="44"/>
          <w:szCs w:val="44"/>
        </w:rPr>
      </w:pPr>
      <w:r>
        <w:rPr>
          <w:rFonts w:hint="eastAsia" w:ascii="创艺简" w:hAnsi="创艺简" w:eastAsia="创艺简" w:cs="创艺简"/>
          <w:b w:val="0"/>
          <w:bCs/>
          <w:sz w:val="44"/>
          <w:szCs w:val="44"/>
        </w:rPr>
        <w:t>现场检查</w:t>
      </w:r>
      <w:r>
        <w:rPr>
          <w:rFonts w:hint="eastAsia" w:cs="创艺简" w:asciiTheme="minorEastAsia" w:hAnsiTheme="minorEastAsia" w:eastAsiaTheme="minorEastAsia"/>
          <w:b w:val="0"/>
          <w:bCs/>
          <w:sz w:val="44"/>
          <w:szCs w:val="44"/>
        </w:rPr>
        <w:t>意见书</w:t>
      </w:r>
    </w:p>
    <w:p>
      <w:pPr>
        <w:spacing w:line="600" w:lineRule="exact"/>
        <w:ind w:firstLine="0" w:firstLineChars="0"/>
        <w:jc w:val="center"/>
        <w:rPr>
          <w:rFonts w:ascii="创艺简" w:hAnsi="创艺简" w:eastAsia="创艺简" w:cs="创艺简"/>
          <w:b w:val="0"/>
          <w:bCs/>
          <w:sz w:val="44"/>
          <w:szCs w:val="44"/>
        </w:rPr>
      </w:pPr>
    </w:p>
    <w:p>
      <w:pPr>
        <w:spacing w:line="600" w:lineRule="exact"/>
        <w:ind w:firstLine="198" w:firstLineChars="62"/>
        <w:rPr>
          <w:rFonts w:ascii="仿宋_GB2312"/>
          <w:b w:val="0"/>
          <w:bCs/>
          <w:szCs w:val="32"/>
        </w:rPr>
      </w:pPr>
      <w:r>
        <w:rPr>
          <w:rFonts w:hint="eastAsia" w:ascii="仿宋_GB2312"/>
          <w:b w:val="0"/>
          <w:bCs/>
          <w:szCs w:val="32"/>
        </w:rPr>
        <w:t>××××××公司：</w:t>
      </w:r>
    </w:p>
    <w:p>
      <w:pPr>
        <w:spacing w:line="600" w:lineRule="exact"/>
        <w:ind w:firstLine="640"/>
        <w:rPr>
          <w:rFonts w:ascii="仿宋_GB2312"/>
          <w:b w:val="0"/>
          <w:bCs/>
          <w:szCs w:val="32"/>
        </w:rPr>
      </w:pPr>
      <w:r>
        <w:rPr>
          <w:rFonts w:hint="eastAsia" w:ascii="仿宋_GB2312"/>
          <w:b w:val="0"/>
          <w:bCs/>
          <w:szCs w:val="32"/>
        </w:rPr>
        <w:t>根据国家有关法律法规及《浙江省地方金融条例》，XX局检查组于XX年XX月XX日至XX日，对你单位截至XX年XX月末XX X业务等情况进行了现场检查，按照《宁波市地方金融监督管理局地方金融组织现场检查暂行办法》的程序和要求，现将检查（及整改）意见告知如下。</w:t>
      </w:r>
    </w:p>
    <w:p>
      <w:pPr>
        <w:spacing w:line="600" w:lineRule="exact"/>
        <w:ind w:firstLine="640"/>
        <w:rPr>
          <w:rFonts w:ascii="黑体" w:hAnsi="黑体" w:eastAsia="黑体"/>
          <w:b w:val="0"/>
          <w:bCs/>
          <w:szCs w:val="32"/>
        </w:rPr>
      </w:pPr>
      <w:r>
        <w:rPr>
          <w:rFonts w:hint="eastAsia" w:ascii="仿宋_GB2312"/>
          <w:b w:val="0"/>
          <w:bCs/>
          <w:szCs w:val="32"/>
        </w:rPr>
        <w:t xml:space="preserve"> </w:t>
      </w:r>
      <w:r>
        <w:rPr>
          <w:rFonts w:hint="eastAsia" w:ascii="黑体" w:hAnsi="黑体" w:eastAsia="黑体"/>
          <w:b w:val="0"/>
          <w:bCs/>
          <w:szCs w:val="32"/>
        </w:rPr>
        <w:t xml:space="preserve">一、检查发现的问题及评价  </w:t>
      </w:r>
    </w:p>
    <w:p>
      <w:pPr>
        <w:spacing w:line="600" w:lineRule="exact"/>
        <w:ind w:firstLine="640"/>
        <w:rPr>
          <w:rFonts w:ascii="仿宋_GB2312"/>
          <w:b w:val="0"/>
          <w:bCs/>
          <w:szCs w:val="32"/>
        </w:rPr>
      </w:pPr>
      <w:r>
        <w:rPr>
          <w:rFonts w:hint="eastAsia" w:ascii="仿宋_GB2312"/>
          <w:b w:val="0"/>
          <w:bCs/>
          <w:szCs w:val="32"/>
        </w:rPr>
        <w:t>经过我局检查组的查证核实，你单位XX业务主要存在以下问题：</w:t>
      </w:r>
      <w:r>
        <w:rPr>
          <w:rFonts w:ascii="仿宋_GB2312"/>
          <w:b w:val="0"/>
          <w:bCs/>
          <w:szCs w:val="32"/>
        </w:rPr>
        <w:t>………</w:t>
      </w:r>
      <w:r>
        <w:rPr>
          <w:rFonts w:hint="eastAsia" w:ascii="仿宋_GB2312"/>
          <w:b w:val="0"/>
          <w:bCs/>
          <w:szCs w:val="32"/>
        </w:rPr>
        <w:t>..</w:t>
      </w:r>
    </w:p>
    <w:p>
      <w:pPr>
        <w:spacing w:line="600" w:lineRule="exact"/>
        <w:ind w:firstLine="640"/>
        <w:rPr>
          <w:rFonts w:ascii="黑体" w:hAnsi="黑体" w:eastAsia="黑体"/>
          <w:b w:val="0"/>
          <w:bCs/>
          <w:szCs w:val="32"/>
        </w:rPr>
      </w:pPr>
      <w:r>
        <w:rPr>
          <w:rFonts w:hint="eastAsia" w:ascii="黑体" w:hAnsi="黑体" w:eastAsia="黑体"/>
          <w:b w:val="0"/>
          <w:bCs/>
          <w:szCs w:val="32"/>
        </w:rPr>
        <w:t xml:space="preserve">二、监管意见 </w:t>
      </w:r>
    </w:p>
    <w:p>
      <w:pPr>
        <w:spacing w:line="600" w:lineRule="exact"/>
        <w:ind w:firstLine="640"/>
        <w:rPr>
          <w:rFonts w:ascii="仿宋_GB2312"/>
          <w:b w:val="0"/>
          <w:bCs/>
          <w:szCs w:val="32"/>
        </w:rPr>
      </w:pPr>
      <w:r>
        <w:rPr>
          <w:rFonts w:hint="eastAsia" w:ascii="仿宋_GB2312"/>
          <w:b w:val="0"/>
          <w:bCs/>
          <w:szCs w:val="32"/>
        </w:rPr>
        <w:t>针对上述检查发现的问题，我局提出如下监管意见：</w:t>
      </w:r>
      <w:r>
        <w:rPr>
          <w:rFonts w:ascii="仿宋_GB2312"/>
          <w:b w:val="0"/>
          <w:bCs/>
          <w:szCs w:val="32"/>
        </w:rPr>
        <w:t>………</w:t>
      </w:r>
      <w:r>
        <w:rPr>
          <w:rFonts w:hint="eastAsia" w:ascii="仿宋_GB2312"/>
          <w:b w:val="0"/>
          <w:bCs/>
          <w:szCs w:val="32"/>
        </w:rPr>
        <w:t>..</w:t>
      </w:r>
    </w:p>
    <w:p>
      <w:pPr>
        <w:spacing w:line="600" w:lineRule="exact"/>
        <w:ind w:firstLine="640"/>
        <w:rPr>
          <w:rFonts w:ascii="仿宋_GB2312"/>
          <w:b w:val="0"/>
          <w:bCs/>
          <w:szCs w:val="32"/>
        </w:rPr>
      </w:pPr>
    </w:p>
    <w:p>
      <w:pPr>
        <w:spacing w:line="600" w:lineRule="exact"/>
        <w:ind w:firstLine="640"/>
        <w:rPr>
          <w:rFonts w:ascii="仿宋_GB2312"/>
          <w:b w:val="0"/>
          <w:bCs/>
          <w:szCs w:val="32"/>
        </w:rPr>
      </w:pPr>
      <w:r>
        <w:rPr>
          <w:rFonts w:hint="eastAsia" w:ascii="仿宋_GB2312"/>
          <w:b w:val="0"/>
          <w:bCs/>
          <w:szCs w:val="32"/>
        </w:rPr>
        <w:t>你单位应认真落实上述监管意见，并于xxx年xx月xx日前将上述监管意见的落实情况书面报告我局。</w:t>
      </w:r>
    </w:p>
    <w:p>
      <w:pPr>
        <w:spacing w:line="600" w:lineRule="exact"/>
        <w:ind w:firstLine="640"/>
        <w:rPr>
          <w:rFonts w:ascii="仿宋_GB2312"/>
          <w:b w:val="0"/>
          <w:bCs/>
          <w:szCs w:val="32"/>
        </w:rPr>
      </w:pPr>
    </w:p>
    <w:p>
      <w:pPr>
        <w:spacing w:line="600" w:lineRule="exact"/>
        <w:ind w:firstLine="640"/>
        <w:rPr>
          <w:rFonts w:ascii="仿宋_GB2312"/>
          <w:b w:val="0"/>
          <w:bCs/>
          <w:szCs w:val="32"/>
        </w:rPr>
      </w:pPr>
      <w:r>
        <w:rPr>
          <w:rFonts w:hint="eastAsia" w:ascii="仿宋_GB2312"/>
          <w:b w:val="0"/>
          <w:bCs/>
          <w:szCs w:val="32"/>
        </w:rPr>
        <w:t xml:space="preserve">                                    ××× </w:t>
      </w:r>
    </w:p>
    <w:p>
      <w:pPr>
        <w:spacing w:line="600" w:lineRule="exact"/>
        <w:ind w:firstLine="640"/>
        <w:rPr>
          <w:rFonts w:ascii="仿宋_GB2312"/>
          <w:b w:val="0"/>
          <w:bCs/>
          <w:szCs w:val="32"/>
        </w:rPr>
      </w:pPr>
      <w:r>
        <w:rPr>
          <w:rFonts w:hint="eastAsia" w:ascii="仿宋_GB2312"/>
          <w:b w:val="0"/>
          <w:bCs/>
          <w:szCs w:val="32"/>
        </w:rPr>
        <w:t xml:space="preserve">                                 年   月   日 </w:t>
      </w:r>
    </w:p>
    <w:p>
      <w:pPr>
        <w:spacing w:line="600" w:lineRule="exact"/>
        <w:ind w:firstLine="640"/>
        <w:rPr>
          <w:rFonts w:ascii="仿宋_GB2312"/>
          <w:b w:val="0"/>
          <w:bCs/>
          <w:szCs w:val="32"/>
        </w:rPr>
      </w:pPr>
    </w:p>
    <w:p>
      <w:pPr>
        <w:spacing w:line="600" w:lineRule="exact"/>
        <w:ind w:firstLine="640"/>
        <w:rPr>
          <w:rFonts w:ascii="仿宋_GB2312"/>
          <w:b w:val="0"/>
          <w:bCs/>
          <w:szCs w:val="32"/>
        </w:rPr>
      </w:pPr>
    </w:p>
    <w:p>
      <w:pPr>
        <w:spacing w:line="600" w:lineRule="exact"/>
        <w:ind w:firstLine="640"/>
        <w:rPr>
          <w:rFonts w:ascii="仿宋_GB2312"/>
          <w:b w:val="0"/>
          <w:bCs/>
          <w:szCs w:val="32"/>
        </w:rPr>
      </w:pPr>
    </w:p>
    <w:p>
      <w:pPr>
        <w:spacing w:line="600" w:lineRule="exact"/>
        <w:ind w:firstLine="640"/>
        <w:rPr>
          <w:rFonts w:ascii="仿宋_GB2312"/>
          <w:b w:val="0"/>
          <w:bCs/>
          <w:szCs w:val="32"/>
        </w:rPr>
      </w:pPr>
    </w:p>
    <w:p>
      <w:pPr>
        <w:spacing w:line="600" w:lineRule="exact"/>
        <w:ind w:firstLine="640"/>
        <w:rPr>
          <w:rFonts w:ascii="仿宋_GB2312"/>
          <w:b w:val="0"/>
          <w:bCs/>
          <w:szCs w:val="32"/>
        </w:rPr>
      </w:pPr>
      <w:r>
        <w:rPr>
          <w:rFonts w:hint="eastAsia" w:ascii="仿宋_GB2312"/>
          <w:b w:val="0"/>
          <w:bCs/>
          <w:szCs w:val="32"/>
        </w:rPr>
        <w:t xml:space="preserve">                      </w:t>
      </w:r>
    </w:p>
    <w:p>
      <w:pPr>
        <w:spacing w:line="600" w:lineRule="exact"/>
        <w:ind w:firstLine="640"/>
        <w:rPr>
          <w:rFonts w:ascii="仿宋_GB2312"/>
          <w:b w:val="0"/>
          <w:bCs/>
          <w:szCs w:val="32"/>
        </w:rPr>
      </w:pPr>
      <w:r>
        <w:rPr>
          <w:rFonts w:hint="eastAsia" w:ascii="仿宋_GB2312"/>
          <w:b w:val="0"/>
          <w:bCs/>
          <w:szCs w:val="32"/>
        </w:rPr>
        <w:t xml:space="preserve">                                ××× </w:t>
      </w:r>
    </w:p>
    <w:p>
      <w:pPr>
        <w:spacing w:line="600" w:lineRule="exact"/>
        <w:ind w:firstLine="640"/>
        <w:rPr>
          <w:rFonts w:ascii="仿宋_GB2312"/>
          <w:b w:val="0"/>
          <w:bCs/>
          <w:szCs w:val="32"/>
        </w:rPr>
      </w:pPr>
      <w:r>
        <w:rPr>
          <w:rFonts w:hint="eastAsia" w:ascii="仿宋_GB2312"/>
          <w:b w:val="0"/>
          <w:bCs/>
          <w:szCs w:val="32"/>
        </w:rPr>
        <w:t xml:space="preserve">                             年   月   日  </w:t>
      </w:r>
    </w:p>
    <w:p>
      <w:pPr>
        <w:spacing w:line="600" w:lineRule="exact"/>
        <w:ind w:firstLine="198" w:firstLineChars="62"/>
        <w:rPr>
          <w:rFonts w:ascii="仿宋_GB2312"/>
          <w:b w:val="0"/>
          <w:bCs/>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创艺简标宋">
    <w:panose1 w:val="00000000000000000000"/>
    <w:charset w:val="86"/>
    <w:family w:val="auto"/>
    <w:pitch w:val="default"/>
    <w:sig w:usb0="00000000" w:usb1="00000000" w:usb2="00000000" w:usb3="00000000" w:csb0="00000000" w:csb1="00000000"/>
  </w:font>
  <w:font w:name="创艺简">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389CA"/>
    <w:multiLevelType w:val="singleLevel"/>
    <w:tmpl w:val="96E389CA"/>
    <w:lvl w:ilvl="0" w:tentative="0">
      <w:start w:val="3"/>
      <w:numFmt w:val="chineseCounting"/>
      <w:suff w:val="space"/>
      <w:lvlText w:val="第%1章"/>
      <w:lvlJc w:val="left"/>
      <w:rPr>
        <w:rFonts w:hint="eastAsia"/>
      </w:rPr>
    </w:lvl>
  </w:abstractNum>
  <w:abstractNum w:abstractNumId="1">
    <w:nsid w:val="143F3D38"/>
    <w:multiLevelType w:val="singleLevel"/>
    <w:tmpl w:val="143F3D38"/>
    <w:lvl w:ilvl="0" w:tentative="0">
      <w:start w:val="5"/>
      <w:numFmt w:val="chineseCounting"/>
      <w:suff w:val="space"/>
      <w:lvlText w:val="第%1章"/>
      <w:lvlJc w:val="left"/>
      <w:rPr>
        <w:rFonts w:hint="eastAsia"/>
      </w:rPr>
    </w:lvl>
  </w:abstractNum>
  <w:abstractNum w:abstractNumId="2">
    <w:nsid w:val="44A92431"/>
    <w:multiLevelType w:val="singleLevel"/>
    <w:tmpl w:val="44A92431"/>
    <w:lvl w:ilvl="0" w:tentative="0">
      <w:start w:val="2"/>
      <w:numFmt w:val="chineseCounting"/>
      <w:suff w:val="space"/>
      <w:lvlText w:val="第%1章"/>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F2D10"/>
    <w:rsid w:val="01AF2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60" w:lineRule="exact"/>
      <w:ind w:firstLine="200" w:firstLineChars="200"/>
      <w:jc w:val="both"/>
    </w:pPr>
    <w:rPr>
      <w:rFonts w:ascii="Times New Roman" w:hAnsi="Times New Roman" w:eastAsia="仿宋_GB2312" w:cstheme="minorBidi"/>
      <w:kern w:val="2"/>
      <w:sz w:val="32"/>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2021-01-29T03:28:00Z</dcterms:created>
  <dc:creator>续锋</dc:creator>
  <cp:lastModifiedBy>续锋</cp:lastModifiedBy>
  <dcterms:modified xsi:type="dcterms:W3CDTF">2021-01-29T03:28:45Z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