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B7" w:rsidRPr="002C0890" w:rsidRDefault="00F70AB7" w:rsidP="00F70AB7">
      <w:pPr>
        <w:spacing w:line="580" w:lineRule="exact"/>
        <w:rPr>
          <w:rFonts w:ascii="黑体" w:eastAsia="黑体" w:hAnsi="仿宋"/>
          <w:sz w:val="32"/>
          <w:szCs w:val="32"/>
        </w:rPr>
      </w:pPr>
      <w:r w:rsidRPr="002C0890">
        <w:rPr>
          <w:rFonts w:ascii="黑体" w:eastAsia="黑体" w:hAnsi="仿宋" w:hint="eastAsia"/>
          <w:sz w:val="32"/>
          <w:szCs w:val="32"/>
        </w:rPr>
        <w:t>附件</w:t>
      </w:r>
      <w:r w:rsidRPr="002C0890">
        <w:rPr>
          <w:rFonts w:ascii="黑体" w:eastAsia="黑体" w:hAnsi="仿宋"/>
          <w:sz w:val="32"/>
          <w:szCs w:val="32"/>
        </w:rPr>
        <w:t>2</w:t>
      </w:r>
    </w:p>
    <w:p w:rsidR="00F70AB7" w:rsidRPr="002C0890" w:rsidRDefault="00F70AB7" w:rsidP="00F70AB7">
      <w:pPr>
        <w:spacing w:line="580" w:lineRule="exact"/>
        <w:jc w:val="center"/>
        <w:rPr>
          <w:rFonts w:ascii="创艺简标宋" w:eastAsia="创艺简标宋" w:hAnsi="仿宋"/>
          <w:sz w:val="32"/>
          <w:szCs w:val="32"/>
        </w:rPr>
      </w:pPr>
      <w:r w:rsidRPr="002C0890">
        <w:rPr>
          <w:rFonts w:ascii="创艺简标宋" w:eastAsia="创艺简标宋" w:hAnsi="仿宋" w:hint="eastAsia"/>
          <w:sz w:val="32"/>
          <w:szCs w:val="32"/>
        </w:rPr>
        <w:t>宁波市典当企业</w:t>
      </w:r>
      <w:r w:rsidRPr="002C0890">
        <w:rPr>
          <w:rFonts w:ascii="创艺简标宋" w:eastAsia="创艺简标宋" w:hAnsi="仿宋"/>
          <w:sz w:val="32"/>
          <w:szCs w:val="32"/>
        </w:rPr>
        <w:t>2018年度年审情况核查表</w:t>
      </w:r>
    </w:p>
    <w:p w:rsidR="00F70AB7" w:rsidRPr="002C0890" w:rsidRDefault="00F70AB7" w:rsidP="00F70AB7">
      <w:pPr>
        <w:spacing w:line="580" w:lineRule="exact"/>
        <w:rPr>
          <w:rFonts w:ascii="楷体_GB2312" w:eastAsia="楷体_GB2312" w:hAnsi="仿宋"/>
          <w:sz w:val="28"/>
          <w:szCs w:val="28"/>
        </w:rPr>
      </w:pPr>
      <w:r w:rsidRPr="002C0890">
        <w:rPr>
          <w:rFonts w:ascii="楷体_GB2312" w:eastAsia="楷体_GB2312" w:hAnsi="仿宋" w:hint="eastAsia"/>
          <w:sz w:val="28"/>
          <w:szCs w:val="28"/>
        </w:rPr>
        <w:t>企业名称</w:t>
      </w:r>
      <w:r w:rsidRPr="002C0890">
        <w:rPr>
          <w:rFonts w:ascii="楷体_GB2312" w:eastAsia="楷体_GB2312" w:hAnsi="仿宋"/>
          <w:sz w:val="28"/>
          <w:szCs w:val="28"/>
        </w:rPr>
        <w:t>(盖章)：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7"/>
        <w:gridCol w:w="576"/>
        <w:gridCol w:w="4979"/>
        <w:gridCol w:w="496"/>
        <w:gridCol w:w="496"/>
        <w:gridCol w:w="976"/>
      </w:tblGrid>
      <w:tr w:rsidR="00F70AB7" w:rsidRPr="00F27458" w:rsidTr="00F57E9E">
        <w:trPr>
          <w:trHeight w:val="362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核查事项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序号</w:t>
            </w:r>
          </w:p>
        </w:tc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具体内容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核查结果</w:t>
            </w:r>
          </w:p>
        </w:tc>
      </w:tr>
      <w:tr w:rsidR="00F70AB7" w:rsidRPr="00F27458" w:rsidTr="00F57E9E">
        <w:trPr>
          <w:trHeight w:val="76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否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黑体" w:eastAsia="黑体" w:hAnsi="仿宋"/>
                <w:sz w:val="28"/>
                <w:szCs w:val="28"/>
              </w:rPr>
            </w:pPr>
            <w:r w:rsidRPr="002C0890">
              <w:rPr>
                <w:rFonts w:ascii="黑体" w:eastAsia="黑体" w:hAnsi="仿宋" w:hint="eastAsia"/>
                <w:sz w:val="28"/>
                <w:szCs w:val="28"/>
              </w:rPr>
              <w:t>具体情况及金额</w:t>
            </w:r>
          </w:p>
        </w:tc>
      </w:tr>
      <w:tr w:rsidR="00F70AB7" w:rsidRPr="00F27458" w:rsidTr="00F57E9E">
        <w:trPr>
          <w:trHeight w:val="595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典当企业注册资本实收情况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是否有虚假出资，抽逃资金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595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净资产是否低于注册资金的</w:t>
            </w:r>
            <w:r w:rsidRPr="002C0890">
              <w:rPr>
                <w:rFonts w:ascii="仿宋_GB2312" w:eastAsia="仿宋_GB2312" w:hAnsi="仿宋"/>
                <w:sz w:val="28"/>
                <w:szCs w:val="28"/>
              </w:rPr>
              <w:t>90%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487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典当企业资金来源情况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有无非法集资、吸收或者变相吸收存款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38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从商业银行以外的单位或个人借款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5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是否从本市以外商业银行贷款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36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银行贷款是否超过注册资本金或所有者权益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36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典当企业与股东的资金往来情况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对其股东的典当资金是否超过该股东的入股资金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36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是否与股东有资金往来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36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典当业务结构及放款情况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财产权利典当余额是否超过注册资本的</w:t>
            </w:r>
            <w:r w:rsidRPr="002C0890">
              <w:rPr>
                <w:rFonts w:ascii="仿宋_GB2312" w:eastAsia="仿宋_GB2312" w:hAnsi="仿宋"/>
                <w:sz w:val="28"/>
                <w:szCs w:val="28"/>
              </w:rPr>
              <w:t>50%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4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是否以证券交易账户资产为质押的典当业务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4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房地产抵押典当余额是否超过注册资本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15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是否存在对同一法人或者自然人的典当余额超过注册资本的</w:t>
            </w:r>
            <w:r w:rsidRPr="002C0890">
              <w:rPr>
                <w:rFonts w:ascii="仿宋_GB2312" w:eastAsia="仿宋_GB2312" w:hAnsi="仿宋"/>
                <w:sz w:val="28"/>
                <w:szCs w:val="28"/>
              </w:rPr>
              <w:t>25%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6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是否存在房地产抵押典当单笔当</w:t>
            </w:r>
            <w:proofErr w:type="gramStart"/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金超过</w:t>
            </w:r>
            <w:proofErr w:type="gramEnd"/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注册资本</w:t>
            </w:r>
            <w:r w:rsidRPr="002C0890">
              <w:rPr>
                <w:rFonts w:ascii="仿宋_GB2312" w:eastAsia="仿宋_GB2312" w:hAnsi="仿宋"/>
                <w:sz w:val="28"/>
                <w:szCs w:val="28"/>
              </w:rPr>
              <w:t>10%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23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是否超范围经营（对外投资、发放信用贷款或购买理财产品等）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246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典当企业对绝当物品处理情况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绝当物品估价金额（非当金金额）在</w:t>
            </w:r>
            <w:r w:rsidRPr="002C0890">
              <w:rPr>
                <w:rFonts w:ascii="仿宋_GB2312" w:eastAsia="仿宋_GB2312" w:hAnsi="仿宋"/>
                <w:sz w:val="28"/>
                <w:szCs w:val="28"/>
              </w:rPr>
              <w:t>3万元以上的，是否按照双方协议处理或依法拍卖、变卖当物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57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3万元以上绝当物品溢价是否返还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225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当票使用情况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所有业务是否按规定开具了全国统一当票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26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18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是否存在以合同代替当票和“账外挂账”现象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23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19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开具的当票、续当凭证与真实的质、抵押典当业务是否相适应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26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proofErr w:type="gramStart"/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息费收取</w:t>
            </w:r>
            <w:proofErr w:type="gramEnd"/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20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是否存在当金利息预扣情况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240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利息及综合费率收取是否超过规定范围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214"/>
          <w:jc w:val="center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典当企业变更情况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是否存在私自变更或违规变更情况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99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23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典当企业法人股东是否存续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88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典当企业法人股东是否两家以上（含两家）、法人股东是否相对控股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104"/>
          <w:jc w:val="center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25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典当企业《典当经营许可证》是否存在出租出借情况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3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信息报送情况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26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2018年度内是否累计三次及以上未按规定时间通过（全国典当行业监督管理信息系统）上报月度财务报表及其他财务指标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F70AB7" w:rsidRPr="00F27458" w:rsidTr="00F57E9E">
        <w:trPr>
          <w:trHeight w:val="3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楷体_GB2312" w:eastAsia="楷体_GB2312" w:hAnsi="仿宋"/>
                <w:sz w:val="28"/>
                <w:szCs w:val="28"/>
              </w:rPr>
            </w:pPr>
            <w:r w:rsidRPr="002C0890">
              <w:rPr>
                <w:rFonts w:ascii="楷体_GB2312" w:eastAsia="楷体_GB2312" w:hAnsi="仿宋" w:hint="eastAsia"/>
                <w:sz w:val="28"/>
                <w:szCs w:val="28"/>
              </w:rPr>
              <w:t>其他方面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/>
                <w:sz w:val="28"/>
                <w:szCs w:val="28"/>
              </w:rPr>
              <w:t>27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典当行及其股东、工作人员是否存在非法高利放贷、暴力或软暴力讨债、套路贷等涉</w:t>
            </w:r>
            <w:proofErr w:type="gramStart"/>
            <w:r w:rsidRPr="002C0890">
              <w:rPr>
                <w:rFonts w:ascii="仿宋_GB2312" w:eastAsia="仿宋_GB2312" w:hAnsi="仿宋" w:hint="eastAsia"/>
                <w:sz w:val="28"/>
                <w:szCs w:val="28"/>
              </w:rPr>
              <w:t>黑涉恶情况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B7" w:rsidRPr="002C0890" w:rsidRDefault="00F70AB7" w:rsidP="00F57E9E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F70AB7" w:rsidRPr="002C0890" w:rsidRDefault="00F70AB7" w:rsidP="00F70AB7">
      <w:pPr>
        <w:spacing w:line="580" w:lineRule="exact"/>
        <w:rPr>
          <w:rFonts w:ascii="仿宋" w:eastAsia="仿宋" w:hAnsi="仿宋"/>
          <w:sz w:val="28"/>
          <w:szCs w:val="28"/>
        </w:rPr>
      </w:pPr>
      <w:r w:rsidRPr="002C0890">
        <w:rPr>
          <w:rFonts w:ascii="仿宋_GB2312" w:eastAsia="仿宋_GB2312" w:hAnsi="仿宋" w:hint="eastAsia"/>
          <w:sz w:val="28"/>
          <w:szCs w:val="28"/>
        </w:rPr>
        <w:t>公司法定代表人签字：</w:t>
      </w:r>
      <w:r w:rsidRPr="002C0890">
        <w:rPr>
          <w:rFonts w:ascii="仿宋_GB2312" w:eastAsia="仿宋_GB2312" w:hAnsi="仿宋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 xml:space="preserve">         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区县（市）监管部门核查人签字</w:t>
      </w:r>
      <w:r w:rsidRPr="002C0890">
        <w:rPr>
          <w:rFonts w:ascii="仿宋_GB2312" w:eastAsia="仿宋_GB2312" w:hAnsi="仿宋"/>
          <w:sz w:val="28"/>
          <w:szCs w:val="28"/>
        </w:rPr>
        <w:t>:</w:t>
      </w:r>
      <w:r w:rsidRPr="002C0890">
        <w:rPr>
          <w:rFonts w:ascii="仿宋" w:eastAsia="仿宋" w:hAnsi="仿宋"/>
          <w:sz w:val="28"/>
          <w:szCs w:val="28"/>
        </w:rPr>
        <w:t xml:space="preserve">                 </w:t>
      </w:r>
    </w:p>
    <w:p w:rsidR="00F70AB7" w:rsidRDefault="00F70AB7" w:rsidP="00F70AB7">
      <w:pPr>
        <w:spacing w:line="580" w:lineRule="exact"/>
        <w:rPr>
          <w:rFonts w:ascii="仿宋_GB2312" w:eastAsia="仿宋_GB2312" w:hAnsi="仿宋"/>
          <w:sz w:val="28"/>
          <w:szCs w:val="28"/>
        </w:rPr>
      </w:pPr>
    </w:p>
    <w:p w:rsidR="00F70AB7" w:rsidRDefault="00F70AB7" w:rsidP="00894EDF">
      <w:pPr>
        <w:spacing w:line="580" w:lineRule="exact"/>
        <w:rPr>
          <w:rFonts w:ascii="仿宋_GB2312" w:eastAsia="仿宋_GB2312" w:hAnsi="仿宋"/>
          <w:sz w:val="32"/>
          <w:szCs w:val="32"/>
        </w:rPr>
      </w:pPr>
      <w:r w:rsidRPr="002C0890">
        <w:rPr>
          <w:rFonts w:ascii="仿宋_GB2312" w:eastAsia="仿宋_GB2312" w:hAnsi="仿宋" w:hint="eastAsia"/>
          <w:sz w:val="28"/>
          <w:szCs w:val="28"/>
        </w:rPr>
        <w:t>年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月</w:t>
      </w:r>
      <w:r w:rsidRPr="002C0890">
        <w:rPr>
          <w:rFonts w:ascii="仿宋_GB2312" w:eastAsia="仿宋_GB2312" w:hAnsi="仿宋"/>
          <w:sz w:val="28"/>
          <w:szCs w:val="28"/>
        </w:rPr>
        <w:t xml:space="preserve">    </w:t>
      </w:r>
      <w:r w:rsidRPr="002C0890">
        <w:rPr>
          <w:rFonts w:ascii="仿宋_GB2312" w:eastAsia="仿宋_GB2312" w:hAnsi="仿宋" w:hint="eastAsia"/>
          <w:sz w:val="28"/>
          <w:szCs w:val="28"/>
        </w:rPr>
        <w:t>日</w:t>
      </w:r>
      <w:r w:rsidRPr="002C0890">
        <w:rPr>
          <w:rFonts w:ascii="仿宋_GB2312" w:eastAsia="仿宋_GB2312" w:hAnsi="仿宋"/>
          <w:sz w:val="28"/>
          <w:szCs w:val="28"/>
        </w:rPr>
        <w:t xml:space="preserve">                     </w:t>
      </w:r>
      <w:r>
        <w:rPr>
          <w:rFonts w:ascii="仿宋_GB2312" w:eastAsia="仿宋_GB2312" w:hAnsi="仿宋" w:hint="eastAsia"/>
          <w:sz w:val="28"/>
          <w:szCs w:val="28"/>
        </w:rPr>
        <w:t xml:space="preserve">     </w:t>
      </w:r>
      <w:r w:rsidRPr="002C0890">
        <w:rPr>
          <w:rFonts w:ascii="仿宋_GB2312" w:eastAsia="仿宋_GB2312" w:hAnsi="仿宋"/>
          <w:sz w:val="28"/>
          <w:szCs w:val="28"/>
        </w:rPr>
        <w:t xml:space="preserve">  </w:t>
      </w:r>
      <w:r w:rsidRPr="002C0890">
        <w:rPr>
          <w:rFonts w:ascii="仿宋_GB2312" w:eastAsia="仿宋_GB2312" w:hAnsi="仿宋" w:hint="eastAsia"/>
          <w:sz w:val="28"/>
          <w:szCs w:val="28"/>
        </w:rPr>
        <w:t>年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月</w:t>
      </w:r>
      <w:r w:rsidRPr="002C0890">
        <w:rPr>
          <w:rFonts w:ascii="仿宋_GB2312" w:eastAsia="仿宋_GB2312" w:hAnsi="仿宋"/>
          <w:sz w:val="28"/>
          <w:szCs w:val="28"/>
        </w:rPr>
        <w:t xml:space="preserve">   </w:t>
      </w:r>
      <w:r w:rsidRPr="002C0890">
        <w:rPr>
          <w:rFonts w:ascii="仿宋_GB2312" w:eastAsia="仿宋_GB2312" w:hAnsi="仿宋" w:hint="eastAsia"/>
          <w:sz w:val="28"/>
          <w:szCs w:val="28"/>
        </w:rPr>
        <w:t>日</w:t>
      </w:r>
    </w:p>
    <w:p w:rsidR="00906615" w:rsidRPr="00F70AB7" w:rsidRDefault="00906615"/>
    <w:sectPr w:rsidR="00906615" w:rsidRPr="00F70AB7" w:rsidSect="00B9361E">
      <w:footerReference w:type="default" r:id="rId4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E" w:rsidRDefault="00894ED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AB7"/>
    <w:rsid w:val="00072EF4"/>
    <w:rsid w:val="00894EDF"/>
    <w:rsid w:val="00906615"/>
    <w:rsid w:val="00F7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B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70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70A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926</Characters>
  <Application>Microsoft Office Word</Application>
  <DocSecurity>0</DocSecurity>
  <Lines>7</Lines>
  <Paragraphs>2</Paragraphs>
  <ScaleCrop>false</ScaleCrop>
  <Company>nbjrb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xufeng</dc:creator>
  <cp:lastModifiedBy>xufeng</cp:lastModifiedBy>
  <cp:revision>2</cp:revision>
  <dcterms:created xsi:type="dcterms:W3CDTF">2019-05-20T01:44:00Z</dcterms:created>
  <dcterms:modified xsi:type="dcterms:W3CDTF">2019-05-20T01:44:00Z</dcterms:modified>
</cp:coreProperties>
</file>