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黑体" w:eastAsia="黑体"/>
          <w:bCs/>
          <w:sz w:val="44"/>
          <w:szCs w:val="44"/>
          <w:lang w:eastAsia="zh-CN"/>
        </w:rPr>
      </w:pPr>
      <w:r>
        <w:rPr>
          <w:rFonts w:hint="eastAsia" w:ascii="黑体" w:eastAsia="黑体"/>
          <w:bCs/>
          <w:sz w:val="44"/>
          <w:szCs w:val="44"/>
        </w:rPr>
        <w:t>宁波市小额贷款公司现场评级指标体系</w:t>
      </w:r>
      <w:r>
        <w:rPr>
          <w:rFonts w:hint="eastAsia" w:ascii="黑体" w:eastAsia="黑体"/>
          <w:bCs/>
          <w:sz w:val="44"/>
          <w:szCs w:val="44"/>
          <w:lang w:eastAsia="zh-CN"/>
        </w:rPr>
        <w:t>（供参</w:t>
      </w:r>
      <w:bookmarkStart w:id="0" w:name="_GoBack"/>
      <w:bookmarkEnd w:id="0"/>
      <w:r>
        <w:rPr>
          <w:rFonts w:hint="eastAsia" w:ascii="黑体" w:eastAsia="黑体"/>
          <w:bCs/>
          <w:sz w:val="44"/>
          <w:szCs w:val="44"/>
          <w:lang w:eastAsia="zh-CN"/>
        </w:rPr>
        <w:t>考）</w:t>
      </w:r>
    </w:p>
    <w:p>
      <w:pPr>
        <w:rPr>
          <w:rFonts w:hint="eastAsia" w:ascii="黑体" w:eastAsia="黑体"/>
          <w:bCs/>
          <w:sz w:val="32"/>
          <w:szCs w:val="32"/>
        </w:rPr>
      </w:pPr>
    </w:p>
    <w:p>
      <w:pPr>
        <w:ind w:firstLine="640" w:firstLineChars="200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第一部分  支农支小实绩（24分）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（一）小额贷款及涉农贷款季末余额（笔数）占比（满分10分）</w:t>
      </w:r>
    </w:p>
    <w:tbl>
      <w:tblPr>
        <w:tblStyle w:val="3"/>
        <w:tblW w:w="81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132"/>
        <w:gridCol w:w="1132"/>
        <w:gridCol w:w="1132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1季度末（1）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2季度末（2）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3季度末（3）</w:t>
            </w:r>
          </w:p>
        </w:tc>
        <w:tc>
          <w:tcPr>
            <w:tcW w:w="33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平均（4）=〔（1）+（2）+（3）〕/3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小额、涉农贷款合计季末余额占比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3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小额、涉农贷款合计季末笔数占比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3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经甄别，剔除借户、拆分贷款后，单户小额贷款和涉农贷款季末余额之和占比平均值达到50%或笔数之和占比平均值达到70%的，得满分。发现一起拆分贷款，扣0.5分。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得分分布：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余额占比≧50%或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笔数占比≧70%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40%≦余额占比﹤50%或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55%≦笔数占比﹤70%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30%≦余额占比﹤40%或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40%≦笔数占比﹤55%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余额占比﹤30%或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笔数占比﹤40%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0分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本项得分      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小额贷款是指单户贷款余额年内始终不超过200万的贷款；涉农贷款是指贷款资金用于种植业、养殖业、林业、捕捞业、初级农产品加工以及花圃苗圃、家庭农庄、农家乐等休闲观光农业的贷款。统计中小额贷款可含涉农贷款，涉农贷款可含200万元及以上的贷款，两者可重复计算。发现借户、拆分贷款的，需合并相应贷款额度，合计大于200万元的不作为小额贷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（二）坚持合理利率水平（满分10分）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小贷公司2018年度新发放的贷款利率不得高于</w:t>
      </w:r>
      <w:r>
        <w:rPr>
          <w:rFonts w:ascii="仿宋_GB2312" w:eastAsia="仿宋_GB2312"/>
          <w:sz w:val="32"/>
          <w:szCs w:val="32"/>
        </w:rPr>
        <w:t>24%</w:t>
      </w:r>
      <w:r>
        <w:rPr>
          <w:rFonts w:hint="eastAsia" w:ascii="仿宋_GB2312" w:eastAsia="仿宋_GB2312"/>
          <w:sz w:val="32"/>
          <w:szCs w:val="32"/>
        </w:rPr>
        <w:t>，有超过的，年度评价等级为“D”。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公司有疑似放贷给股东或股东关联方，且利率明显偏低的，评级组将此类贷款进行剔除。</w:t>
      </w:r>
      <w:r>
        <w:rPr>
          <w:rFonts w:hint="eastAsia" w:ascii="仿宋_GB2312" w:eastAsia="仿宋_GB2312"/>
          <w:sz w:val="32"/>
          <w:szCs w:val="32"/>
        </w:rPr>
        <w:t>2018年度新发放贷款</w:t>
      </w:r>
      <w:r>
        <w:rPr>
          <w:rFonts w:hint="eastAsia" w:ascii="仿宋_GB2312" w:eastAsia="仿宋_GB2312"/>
          <w:bCs/>
          <w:sz w:val="32"/>
          <w:szCs w:val="32"/>
        </w:rPr>
        <w:t>平均年化利率（按算术平均法）</w:t>
      </w:r>
      <w:r>
        <w:rPr>
          <w:rFonts w:hint="eastAsia" w:ascii="仿宋_GB2312" w:eastAsia="仿宋_GB2312"/>
          <w:sz w:val="32"/>
          <w:szCs w:val="32"/>
        </w:rPr>
        <w:t>得分分布：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平均年化利率≦12%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12%﹤平均年化利率≦18%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18%﹤平均年化利率≦24%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6分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本项得分    分。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（三）收取手续费、咨询费情况（满分4分）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存在借发放贷款之机，向客户收取与贷款挂钩的各类不合理手续费、咨询费等，即“以贷收费”情况的，每发生一笔扣2分。收取此类费用加年化利率超过24%的，年度评价等级为“D”。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  分。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第二部分  落实风险防范机制（29分）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（四）贷款集中度（最大10户及其关联贷款余额表）（满分10分）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915"/>
        <w:gridCol w:w="218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序列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贷款人（含关联方）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是否超过最高限额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91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最高限额规定：注册资金1亿元（含）以下的小贷公司单户（同一实际控制人名下的关联企业合并计算）贷款额度不得超过500万元，其他小贷公司不得超过注册资金的5%。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超过最高限额的，每发现一起，扣0.5分。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 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（五）资产分类制度执行情况（满分3分）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资产五级分类不合理，不良贷款偏离度超过30%的扣2分，超过50%的扣3分。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不良贷款偏离度=（经核实公司实际不良贷款额-公司报送监管部门的不良贷款额）/经核实公司实际不良贷款额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说明：五级分类要求参照《宁波市小额贷款公司贷款风险分类指引（试行）》。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分。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（六）风险拨备覆盖率（满分3分）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各类损失准备金之和（1）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不良贷款（2）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风险拨备覆盖率（1）/（2）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各类损失准备金之和=贷款损失准备+一般风险准备+历年财政结余，以9月末数据为准。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风险拨备覆盖率</w:t>
      </w:r>
      <w:r>
        <w:rPr>
          <w:rFonts w:hint="eastAsia" w:ascii="仿宋_GB2312" w:eastAsia="仿宋_GB2312"/>
          <w:sz w:val="32"/>
          <w:szCs w:val="32"/>
        </w:rPr>
        <w:t>得分分布：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风险拨备覆盖率≧70%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50%≦风险拨备覆盖率﹤70%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1.5分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风险拨备覆盖率﹤50%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0分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本项得分     分。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（七）不良贷款率（满分5分）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不良贷款（1）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贷款余额（2）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不良贷款率（1）/（2）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不良贷款率</w:t>
      </w:r>
      <w:r>
        <w:rPr>
          <w:rFonts w:hint="eastAsia" w:ascii="仿宋_GB2312" w:eastAsia="仿宋_GB2312"/>
          <w:sz w:val="32"/>
          <w:szCs w:val="32"/>
        </w:rPr>
        <w:t>得分分布：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不良贷款率≦5%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5%﹤不良贷款率≦10%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10%﹤不良贷款率≦15%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不良贷款率﹥15%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0分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本项得分     分。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（八）风控制度建设、落实情况（满分8分）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1.是否出台贷款风险管理办法，是否有效执行；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是否</w:t>
      </w:r>
      <w:r>
        <w:rPr>
          <w:rFonts w:eastAsia="仿宋_GB2312"/>
          <w:sz w:val="32"/>
          <w:szCs w:val="32"/>
        </w:rPr>
        <w:t>出台贷款损失追偿制度，</w:t>
      </w:r>
      <w:r>
        <w:rPr>
          <w:rFonts w:hint="eastAsia" w:eastAsia="仿宋_GB2312"/>
          <w:sz w:val="32"/>
          <w:szCs w:val="32"/>
        </w:rPr>
        <w:t>是否</w:t>
      </w:r>
      <w:r>
        <w:rPr>
          <w:rFonts w:eastAsia="仿宋_GB2312"/>
          <w:sz w:val="32"/>
          <w:szCs w:val="32"/>
        </w:rPr>
        <w:t>有效执行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是否</w:t>
      </w:r>
      <w:r>
        <w:rPr>
          <w:rFonts w:eastAsia="仿宋_GB2312"/>
          <w:sz w:val="32"/>
          <w:szCs w:val="32"/>
        </w:rPr>
        <w:t>出台风险责任追究制度，</w:t>
      </w:r>
      <w:r>
        <w:rPr>
          <w:rFonts w:hint="eastAsia" w:eastAsia="仿宋_GB2312"/>
          <w:sz w:val="32"/>
          <w:szCs w:val="32"/>
        </w:rPr>
        <w:t>是否</w:t>
      </w:r>
      <w:r>
        <w:rPr>
          <w:rFonts w:eastAsia="仿宋_GB2312"/>
          <w:sz w:val="32"/>
          <w:szCs w:val="32"/>
        </w:rPr>
        <w:t>有效执行</w:t>
      </w:r>
      <w:r>
        <w:rPr>
          <w:rFonts w:hint="eastAsia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4.是否建立风控部门或风控决策机制，是否正常运作；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5.公司各岗位职责是否明确，关键岗位是否遵循必要的分离原则；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6.是否建立了清晰的授权制度，有否存在违反或变相违反授权办理业务情况；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7.贷前、贷中、贷后“三查”制度是否执行到位，有无相关详细记录、责任人签字；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8.现金进出的制度安排与事实管控是否合理、安全。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以上每项未达到要求的，各扣1分。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  分。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第三部分   合规经营情况（21分）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（九）执行区域内经营情况（满分5分）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贷公司的法人客户注册地、自然人客户的户籍地或身份证地址应在小贷公司注册所在县域内，存在向县域外发放贷款的，每发生一笔扣1分。互联网小贷公司、经批准允许开展供应链业务的小贷公司违反监管规定超范围经营的，每发生一笔扣1分，被发现在宁波市辖区以外设立物理经营场所、线下开展业务的，年度评价等级为“D”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说明：宁波市主城区范围视同同一经营区域，杭州湾与慈溪视同同一区域；经批准允许开展全市行业性业务和全国供应链业务的除外。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分。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（十）关联交易情况（满分10分）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接向股东发放贷款、股东占用小贷公司资金、或未经审批擅自向股东借入贷款的，每发生一起扣5分；向股东关联方发放贷款的，每发生一起扣2分，金额超过注册资金20%的，此项不得分。2018年之前发生以上情况本年度内未纠正的，按以上规定扣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 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（十一）财务、档案规范情况（满分3分）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1.是否建立规范化的财务、会计操作制度，是否认真执行《金融企业财务规则》等相关金融财务管理制度；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2.是否按照贷款损失准备金政策规范计提损失准备；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3.凭证、印章、登记簿等使用、保管、处置制度是否健全并落实，信贷合同是否准确清晰，贷款档案是否完整规范。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以上每项未达要求的，各扣1分。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 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（十二）举报情况（满分3分）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年度内发生举报事项，经查违规情况属实的，每发生一起扣3分。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分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第四部分  公司治理情况（ 8分） 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（十三）“三会一层”执行情况（满分3分）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1.“三会一层”事权划分不合理，授权体系、高管考核激励及问责机制不健全，扣1分；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2.总经理负责制的职业经理人决策机制运作不正常的，扣1分；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3.股东会、董事会、监事会等召开不符合相关法律法规及公司章程规定，未保留相关记录档案的，扣1分。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  分。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（十四）股东和高管情况（满分5分）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1.未经市金融办批准擅自进行股权转让，每次扣1分；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2.未经市金融办核准擅自变更董事长、总经理，每次扣1分；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3.发现股东代持、隐性持股情况，每次扣2分，因股权对外质押等引起纠纷的，每次扣2分；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第五部分  配合监管、行业自律情况（18分）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（十五）配合监管情况（满分10分）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1.不配合专职监管员的日常巡查，监管部门组织的专项现场检查、调查、举报核查，存在拒绝提供有关资料，转移、隐匿、毁损、伪造有关资料等行为的，本项不得分；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2.公司股东会、董事会未邀请当地专职监管员参加的，每次扣2分；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3.发生重大风险情况和重大意外事故，未及时向专职监管员、县市两级金融办报告，并造成恶劣社会影响的，发生一次扣2分； 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4.针对市县两级监管部门提出的整改意见，不及时提交情况说明或整改不及时、不到位的，每发现一起扣2分；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5.无故不派员参加监管部门组织召开的重要会议和培训，每次扣2分。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6.未按要求及时准确报送相关报表、材料，未按规定执行许可事项的，每发现一起扣2分。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本项得分    分。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（十六）行业自律情况（满分3分）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1.违反自律公约有关内容，每次扣1分；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2.不遵守、不履行同业拆借等行业约定，损害其他会员单位利益的，每次扣1分；</w:t>
      </w:r>
    </w:p>
    <w:p>
      <w:pPr>
        <w:snapToGrid w:val="0"/>
        <w:spacing w:line="50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3.无故不派员参加行业协会组织的会议、活动、培训的，每次扣1分。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本项得分      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（十七）经营管理创新情况（满分5分）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公司在2018年度经营管理等方面获得荣誉，具有推广价值的，区级荣誉得1分，市级荣誉得3分，国家级荣誉得5分。（本地区县金融办给予的荣誉除外）。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D4ACB"/>
    <w:rsid w:val="3B0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2019-12-11T09:10:00Z</dcterms:created>
  <dc:creator>admin</dc:creator>
  <cp:lastModifiedBy>admin</cp:lastModifiedBy>
  <dcterms:modified xsi:type="dcterms:W3CDTF">2019-12-11T09:11:00Z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